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2"/>
        <w:gridCol w:w="4723"/>
      </w:tblGrid>
      <w:tr w:rsidR="00000000" w:rsidTr="00B4491D">
        <w:trPr>
          <w:divId w:val="155582976"/>
          <w:tblCellSpacing w:w="15" w:type="dxa"/>
        </w:trPr>
        <w:tc>
          <w:tcPr>
            <w:tcW w:w="0" w:type="auto"/>
            <w:vAlign w:val="center"/>
          </w:tcPr>
          <w:p w:rsidR="00000000" w:rsidRDefault="00040F95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</w:tcPr>
          <w:p w:rsidR="00000000" w:rsidRDefault="00040F95">
            <w:pPr>
              <w:jc w:val="right"/>
              <w:rPr>
                <w:rFonts w:eastAsia="Times New Roman"/>
              </w:rPr>
            </w:pPr>
          </w:p>
        </w:tc>
      </w:tr>
    </w:tbl>
    <w:p w:rsidR="00000000" w:rsidRDefault="00040F95">
      <w:pPr>
        <w:divId w:val="1614627372"/>
        <w:rPr>
          <w:rFonts w:eastAsia="Times New Roman"/>
        </w:rPr>
      </w:pPr>
      <w:r>
        <w:rPr>
          <w:rFonts w:eastAsia="Times New Roman"/>
        </w:rPr>
        <w:pict>
          <v:rect id="_x0000_i1025" style="width:0;height:1.5pt" o:hralign="center" o:hrstd="t" o:hr="t" fillcolor="#a0a0a0" stroked="f"/>
        </w:pict>
      </w:r>
    </w:p>
    <w:p w:rsidR="00000000" w:rsidRDefault="00040F95">
      <w:pPr>
        <w:jc w:val="center"/>
        <w:divId w:val="1614627372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Решение Совета Евразийской экономической комиссии</w:t>
      </w:r>
      <w:r>
        <w:rPr>
          <w:rFonts w:eastAsia="Times New Roman"/>
          <w:b/>
          <w:bCs/>
        </w:rPr>
        <w:br/>
        <w:t>от 30 января 2013 г. N 6</w:t>
      </w:r>
      <w:r>
        <w:rPr>
          <w:rFonts w:eastAsia="Times New Roman"/>
          <w:b/>
          <w:bCs/>
        </w:rPr>
        <w:br/>
        <w:t xml:space="preserve">"О внесении изменений в технический регламент Таможенного союза </w:t>
      </w:r>
      <w:r>
        <w:rPr>
          <w:rFonts w:eastAsia="Times New Roman"/>
          <w:b/>
          <w:bCs/>
        </w:rPr>
        <w:br/>
        <w:t xml:space="preserve">«О безопасности колесных транспортных средств» </w:t>
      </w:r>
      <w:r>
        <w:rPr>
          <w:rFonts w:eastAsia="Times New Roman"/>
          <w:b/>
          <w:bCs/>
        </w:rPr>
        <w:br/>
        <w:t>(</w:t>
      </w:r>
      <w:proofErr w:type="gramStart"/>
      <w:r>
        <w:rPr>
          <w:rFonts w:eastAsia="Times New Roman"/>
          <w:b/>
          <w:bCs/>
        </w:rPr>
        <w:t>ТР</w:t>
      </w:r>
      <w:proofErr w:type="gramEnd"/>
      <w:r>
        <w:rPr>
          <w:rFonts w:eastAsia="Times New Roman"/>
          <w:b/>
          <w:bCs/>
        </w:rPr>
        <w:t xml:space="preserve"> ТС 018/2011)" </w:t>
      </w:r>
    </w:p>
    <w:p w:rsidR="00000000" w:rsidRDefault="00040F95">
      <w:pPr>
        <w:jc w:val="center"/>
        <w:divId w:val="1614627372"/>
        <w:rPr>
          <w:rFonts w:eastAsia="Times New Roman"/>
        </w:rPr>
      </w:pPr>
      <w:r>
        <w:rPr>
          <w:rFonts w:eastAsia="Times New Roman"/>
        </w:rPr>
        <w:t xml:space="preserve">  </w:t>
      </w:r>
    </w:p>
    <w:p w:rsidR="00000000" w:rsidRDefault="00040F95">
      <w:pPr>
        <w:pStyle w:val="a5"/>
        <w:jc w:val="both"/>
        <w:divId w:val="1614627372"/>
      </w:pPr>
      <w:r>
        <w:t xml:space="preserve">В соответствии со статьей 3 </w:t>
      </w:r>
      <w:r w:rsidRPr="00B4491D">
        <w:t>Договора</w:t>
      </w:r>
      <w:r>
        <w:t xml:space="preserve"> о Евразийской экономической комиссии от 18 ноября 2011 года Совет Евразийской экономической комиссии РЕШИЛ:</w:t>
      </w:r>
    </w:p>
    <w:p w:rsidR="00000000" w:rsidRDefault="00040F95">
      <w:pPr>
        <w:pStyle w:val="a5"/>
        <w:jc w:val="both"/>
        <w:divId w:val="1614627372"/>
      </w:pPr>
      <w:r>
        <w:t>1. Внести в техниче</w:t>
      </w:r>
      <w:r>
        <w:t xml:space="preserve">ский регламент Таможенного союза </w:t>
      </w:r>
    </w:p>
    <w:p w:rsidR="00000000" w:rsidRDefault="00040F95">
      <w:pPr>
        <w:pStyle w:val="a5"/>
        <w:jc w:val="both"/>
        <w:divId w:val="1614627372"/>
      </w:pPr>
      <w:r>
        <w:t>«О безопасности колесных транспортных средств» (</w:t>
      </w:r>
      <w:proofErr w:type="gramStart"/>
      <w:r>
        <w:t>ТР</w:t>
      </w:r>
      <w:proofErr w:type="gramEnd"/>
      <w:r>
        <w:t xml:space="preserve"> ТС 018/2011), утвержденный Решением Комиссии Таможенного союза от </w:t>
      </w:r>
      <w:r w:rsidRPr="00B4491D">
        <w:t>9 д</w:t>
      </w:r>
      <w:bookmarkStart w:id="0" w:name="_GoBack"/>
      <w:bookmarkEnd w:id="0"/>
      <w:r w:rsidRPr="00B4491D">
        <w:t>екабря 2011 г. N 877</w:t>
      </w:r>
      <w:r>
        <w:t>, изменения согласно приложению.</w:t>
      </w:r>
    </w:p>
    <w:p w:rsidR="00000000" w:rsidRDefault="00040F95">
      <w:pPr>
        <w:pStyle w:val="a5"/>
        <w:jc w:val="both"/>
        <w:divId w:val="1614627372"/>
      </w:pPr>
      <w:r>
        <w:t xml:space="preserve">2. Настоящее Решение вступает в силу по истечении 30 календарных дней </w:t>
      </w:r>
      <w:proofErr w:type="gramStart"/>
      <w:r>
        <w:t>с</w:t>
      </w:r>
      <w:proofErr w:type="gramEnd"/>
      <w:r>
        <w:t xml:space="preserve"> даты его официального опубликования. </w:t>
      </w:r>
    </w:p>
    <w:p w:rsidR="00000000" w:rsidRDefault="00040F95">
      <w:pPr>
        <w:pStyle w:val="a5"/>
        <w:divId w:val="1614627372"/>
      </w:pPr>
      <w:r>
        <w:t> </w:t>
      </w:r>
    </w:p>
    <w:p w:rsidR="00000000" w:rsidRDefault="00040F95">
      <w:pPr>
        <w:jc w:val="center"/>
        <w:divId w:val="1614627372"/>
        <w:rPr>
          <w:rFonts w:eastAsia="Times New Roman"/>
        </w:rPr>
      </w:pPr>
      <w:r>
        <w:rPr>
          <w:rFonts w:eastAsia="Times New Roman"/>
        </w:rPr>
        <w:t>Члены Совета Евразийской экономическо</w:t>
      </w:r>
      <w:r>
        <w:rPr>
          <w:rFonts w:eastAsia="Times New Roman"/>
        </w:rPr>
        <w:t xml:space="preserve">й комиссии: </w:t>
      </w:r>
    </w:p>
    <w:p w:rsidR="00000000" w:rsidRDefault="00040F95">
      <w:pPr>
        <w:pStyle w:val="a5"/>
        <w:divId w:val="1614627372"/>
      </w:pPr>
      <w:r>
        <w:t> </w:t>
      </w:r>
    </w:p>
    <w:p w:rsidR="00000000" w:rsidRDefault="00040F95">
      <w:pPr>
        <w:jc w:val="right"/>
        <w:divId w:val="1614627372"/>
        <w:rPr>
          <w:rFonts w:eastAsia="Times New Roman"/>
        </w:rPr>
      </w:pPr>
      <w:r>
        <w:rPr>
          <w:rFonts w:eastAsia="Times New Roman"/>
        </w:rPr>
        <w:t>От Республики Беларусь</w:t>
      </w:r>
      <w:r>
        <w:rPr>
          <w:rFonts w:eastAsia="Times New Roman"/>
        </w:rPr>
        <w:br/>
        <w:t>С.Румас</w:t>
      </w:r>
      <w:r>
        <w:rPr>
          <w:rFonts w:eastAsia="Times New Roman"/>
        </w:rPr>
        <w:br/>
        <w:t> </w:t>
      </w:r>
      <w:r>
        <w:rPr>
          <w:rFonts w:eastAsia="Times New Roman"/>
        </w:rPr>
        <w:br/>
        <w:t>От Республики Казахстан</w:t>
      </w:r>
      <w:r>
        <w:rPr>
          <w:rFonts w:eastAsia="Times New Roman"/>
        </w:rPr>
        <w:br/>
        <w:t>К.Келимбетов</w:t>
      </w:r>
      <w:r>
        <w:rPr>
          <w:rFonts w:eastAsia="Times New Roman"/>
        </w:rPr>
        <w:br/>
        <w:t> </w:t>
      </w:r>
      <w:r>
        <w:rPr>
          <w:rFonts w:eastAsia="Times New Roman"/>
        </w:rPr>
        <w:br/>
        <w:t>От Российской Федерации</w:t>
      </w:r>
      <w:r>
        <w:rPr>
          <w:rFonts w:eastAsia="Times New Roman"/>
        </w:rPr>
        <w:br/>
        <w:t xml:space="preserve">И.Шувалов </w:t>
      </w:r>
    </w:p>
    <w:p w:rsidR="00000000" w:rsidRDefault="00040F95">
      <w:pPr>
        <w:pStyle w:val="a5"/>
        <w:divId w:val="1614627372"/>
      </w:pPr>
      <w:r>
        <w:t> </w:t>
      </w:r>
    </w:p>
    <w:p w:rsidR="00000000" w:rsidRDefault="00040F95">
      <w:pPr>
        <w:pStyle w:val="a5"/>
        <w:divId w:val="1614627372"/>
      </w:pPr>
      <w:r>
        <w:t> </w:t>
      </w:r>
    </w:p>
    <w:p w:rsidR="00000000" w:rsidRDefault="00040F95">
      <w:pPr>
        <w:jc w:val="right"/>
        <w:divId w:val="1614627372"/>
        <w:rPr>
          <w:rFonts w:eastAsia="Times New Roman"/>
        </w:rPr>
      </w:pPr>
      <w:r>
        <w:rPr>
          <w:rFonts w:eastAsia="Times New Roman"/>
        </w:rPr>
        <w:t>Приложение</w:t>
      </w:r>
      <w:r>
        <w:rPr>
          <w:rFonts w:eastAsia="Times New Roman"/>
        </w:rPr>
        <w:br/>
        <w:t>к Решению Совета</w:t>
      </w:r>
      <w:r>
        <w:rPr>
          <w:rFonts w:eastAsia="Times New Roman"/>
        </w:rPr>
        <w:br/>
        <w:t>Евразийской экономической комиссии</w:t>
      </w:r>
      <w:r>
        <w:rPr>
          <w:rFonts w:eastAsia="Times New Roman"/>
        </w:rPr>
        <w:br/>
        <w:t xml:space="preserve">от 30 января 2013 г. N 6 </w:t>
      </w:r>
    </w:p>
    <w:p w:rsidR="00000000" w:rsidRDefault="00040F95">
      <w:pPr>
        <w:jc w:val="center"/>
        <w:divId w:val="1614627372"/>
        <w:rPr>
          <w:rFonts w:eastAsia="Times New Roman"/>
        </w:rPr>
      </w:pPr>
      <w:r>
        <w:rPr>
          <w:rFonts w:eastAsia="Times New Roman"/>
        </w:rPr>
        <w:t> </w:t>
      </w:r>
      <w:r>
        <w:rPr>
          <w:rFonts w:eastAsia="Times New Roman"/>
        </w:rPr>
        <w:br/>
        <w:t xml:space="preserve">ИЗМЕНЕНИЯ, </w:t>
      </w:r>
      <w:r>
        <w:rPr>
          <w:rFonts w:eastAsia="Times New Roman"/>
        </w:rPr>
        <w:br/>
      </w:r>
      <w:r>
        <w:rPr>
          <w:rFonts w:eastAsia="Times New Roman"/>
        </w:rPr>
        <w:t xml:space="preserve">которые вносятся в технический регламент Таможенного союза </w:t>
      </w:r>
      <w:r>
        <w:rPr>
          <w:rFonts w:eastAsia="Times New Roman"/>
        </w:rPr>
        <w:br/>
        <w:t>«О безопасности колесных транспортных средств» (</w:t>
      </w:r>
      <w:proofErr w:type="gramStart"/>
      <w:r>
        <w:rPr>
          <w:rFonts w:eastAsia="Times New Roman"/>
        </w:rPr>
        <w:t>ТР</w:t>
      </w:r>
      <w:proofErr w:type="gramEnd"/>
      <w:r>
        <w:rPr>
          <w:rFonts w:eastAsia="Times New Roman"/>
        </w:rPr>
        <w:t xml:space="preserve"> ТС 018/2011) </w:t>
      </w:r>
    </w:p>
    <w:p w:rsidR="00000000" w:rsidRDefault="00040F95">
      <w:pPr>
        <w:pStyle w:val="a5"/>
        <w:jc w:val="both"/>
        <w:divId w:val="1614627372"/>
      </w:pPr>
      <w:r>
        <w:t> </w:t>
      </w:r>
    </w:p>
    <w:p w:rsidR="00000000" w:rsidRDefault="00040F95">
      <w:pPr>
        <w:pStyle w:val="a5"/>
        <w:jc w:val="both"/>
        <w:divId w:val="1614627372"/>
      </w:pPr>
      <w:r>
        <w:t>1. В пункте 6:</w:t>
      </w:r>
    </w:p>
    <w:p w:rsidR="00000000" w:rsidRDefault="00040F95">
      <w:pPr>
        <w:pStyle w:val="a5"/>
        <w:jc w:val="both"/>
        <w:divId w:val="1614627372"/>
      </w:pPr>
      <w:r>
        <w:t>после абзаца четвертого дополнить абзацем следующего содержания:</w:t>
      </w:r>
    </w:p>
    <w:p w:rsidR="00000000" w:rsidRDefault="00040F95">
      <w:pPr>
        <w:pStyle w:val="a5"/>
        <w:jc w:val="both"/>
        <w:divId w:val="1614627372"/>
      </w:pPr>
      <w:r>
        <w:t>«аппаратура спутниковой навигации» - аппаратно-пр</w:t>
      </w:r>
      <w:r>
        <w:t>ограммное устройство, устанавливаемое на транспортное средство для определения его текущего местоположения, направления и скорости движения по сигналам не менее двух действующих глобальных навигационных спутниковых систем, обмена данными с дополнительным б</w:t>
      </w:r>
      <w:r>
        <w:t>ортовым оборудованием, а также для обмена информацией по сетям подвижной радиотелефонной связи</w:t>
      </w:r>
      <w:proofErr w:type="gramStart"/>
      <w:r>
        <w:t>;»</w:t>
      </w:r>
      <w:proofErr w:type="gramEnd"/>
      <w:r>
        <w:t>;</w:t>
      </w:r>
    </w:p>
    <w:p w:rsidR="00000000" w:rsidRDefault="00040F95">
      <w:pPr>
        <w:pStyle w:val="a5"/>
        <w:jc w:val="both"/>
        <w:divId w:val="1614627372"/>
      </w:pPr>
      <w:r>
        <w:t xml:space="preserve">абзац восемьдесят второй дополнить словами «, предназначенный для повышения пассивной безопасности транспортного средства путем фиксации положения водителя и </w:t>
      </w:r>
      <w:r>
        <w:t>пассажиров относительно кузова»;</w:t>
      </w:r>
    </w:p>
    <w:p w:rsidR="00000000" w:rsidRDefault="00040F95">
      <w:pPr>
        <w:pStyle w:val="a5"/>
        <w:jc w:val="both"/>
        <w:divId w:val="1614627372"/>
      </w:pPr>
      <w:r>
        <w:t>после абзаца сто второго дополнить абзацем следующего содержания:</w:t>
      </w:r>
    </w:p>
    <w:p w:rsidR="00000000" w:rsidRDefault="00040F95">
      <w:pPr>
        <w:pStyle w:val="a5"/>
        <w:jc w:val="both"/>
        <w:divId w:val="1614627372"/>
      </w:pPr>
      <w:r>
        <w:t>«система вызова экстренных оперативных служб» - система, выполняющая функции устройства вызова экстренных оперативных служб, обеспечивающая передачу сообщени</w:t>
      </w:r>
      <w:r>
        <w:t>я о транспортном средстве при дорожно-транспортном и ином происшествиях в автоматическом режиме</w:t>
      </w:r>
      <w:proofErr w:type="gramStart"/>
      <w:r>
        <w:t>;»</w:t>
      </w:r>
      <w:proofErr w:type="gramEnd"/>
      <w:r>
        <w:t>;</w:t>
      </w:r>
    </w:p>
    <w:p w:rsidR="00000000" w:rsidRDefault="00040F95">
      <w:pPr>
        <w:pStyle w:val="a5"/>
        <w:jc w:val="both"/>
        <w:divId w:val="1614627372"/>
      </w:pPr>
      <w:r>
        <w:t>после абзаца сто сорок первого дополнить абзацем следующего содержания:</w:t>
      </w:r>
    </w:p>
    <w:p w:rsidR="00000000" w:rsidRDefault="00040F95">
      <w:pPr>
        <w:pStyle w:val="a5"/>
        <w:jc w:val="both"/>
        <w:divId w:val="1614627372"/>
      </w:pPr>
      <w:proofErr w:type="gramStart"/>
      <w:r>
        <w:t>«устройство вызова экстренных оперативных служб» - устройство, осуществляющее и обесп</w:t>
      </w:r>
      <w:r>
        <w:t>ечивающее определение координат, скорости и направления движения транспортного средства с помощью сигналов не менее двух действующих глобальных навигационных спутниковых систем, передачу сообщения о транспортном средстве при дорожно-транспортном и ином про</w:t>
      </w:r>
      <w:r>
        <w:t>исшествиях в ручном режиме и двустороннюю голосовую связь с экстренными оперативными службами по сетям подвижной радиотелефонной связи;».</w:t>
      </w:r>
      <w:proofErr w:type="gramEnd"/>
    </w:p>
    <w:p w:rsidR="00000000" w:rsidRDefault="00040F95">
      <w:pPr>
        <w:pStyle w:val="a5"/>
        <w:jc w:val="both"/>
        <w:divId w:val="1614627372"/>
      </w:pPr>
      <w:r>
        <w:t>2. Пункт 13 изложить в следующей редакции:</w:t>
      </w:r>
    </w:p>
    <w:p w:rsidR="00000000" w:rsidRDefault="00040F95">
      <w:pPr>
        <w:pStyle w:val="a5"/>
        <w:jc w:val="both"/>
        <w:divId w:val="1614627372"/>
      </w:pPr>
      <w:r>
        <w:t>«13. Выпускаемые в обращение транспортные средства категории М, используемы</w:t>
      </w:r>
      <w:r>
        <w:t xml:space="preserve">е для коммерческих перевозок пассажиров, а также специально предназначенные для перевозки детей, и категории N, используемые для перевозки твердых бытовых отходов и мусора (мусоровозы), специальных, опасных, тяжеловесных и (или) крупногабаритных грузов, а </w:t>
      </w:r>
      <w:r>
        <w:t xml:space="preserve">также транспортные средства оперативных служб подлежат оснащению аппаратурой спутниковой навигации. Конструкция указанных транспортных средств должна обеспечивать возможность оснащения их указанной аппаратурой. </w:t>
      </w:r>
    </w:p>
    <w:p w:rsidR="00000000" w:rsidRDefault="00040F95">
      <w:pPr>
        <w:pStyle w:val="a5"/>
        <w:jc w:val="both"/>
        <w:divId w:val="1614627372"/>
      </w:pPr>
      <w:r>
        <w:t>Транспортные средства оперативных служб и тр</w:t>
      </w:r>
      <w:r>
        <w:t>анспортные средства категории N, используемые для перевозки твердых бытовых отходов и мусора (мусоровозы), оснащаются аппаратурой спутниковой навигации в порядке, установленном законодательством государств – членов Таможенного союза.</w:t>
      </w:r>
    </w:p>
    <w:p w:rsidR="00000000" w:rsidRDefault="00040F95">
      <w:pPr>
        <w:pStyle w:val="a5"/>
        <w:jc w:val="both"/>
        <w:divId w:val="1614627372"/>
      </w:pPr>
      <w:r>
        <w:t>Оснащение указанной ап</w:t>
      </w:r>
      <w:r>
        <w:t xml:space="preserve">паратурой транспортных средств, находящихся </w:t>
      </w:r>
    </w:p>
    <w:p w:rsidR="00000000" w:rsidRDefault="00040F95">
      <w:pPr>
        <w:pStyle w:val="a5"/>
        <w:jc w:val="both"/>
        <w:divId w:val="1614627372"/>
      </w:pPr>
      <w:r>
        <w:t>в эксплуатации, осуществляется в порядке, установленном законодательством государств – членов Таможенного союза</w:t>
      </w:r>
      <w:proofErr w:type="gramStart"/>
      <w:r>
        <w:t>.».</w:t>
      </w:r>
      <w:proofErr w:type="gramEnd"/>
    </w:p>
    <w:p w:rsidR="00000000" w:rsidRDefault="00040F95">
      <w:pPr>
        <w:pStyle w:val="a5"/>
        <w:jc w:val="both"/>
        <w:divId w:val="1614627372"/>
      </w:pPr>
      <w:r>
        <w:t>3. Дополнить пунктом 131 следующего содержания:</w:t>
      </w:r>
    </w:p>
    <w:p w:rsidR="00000000" w:rsidRDefault="00040F95">
      <w:pPr>
        <w:pStyle w:val="a5"/>
        <w:jc w:val="both"/>
        <w:divId w:val="1614627372"/>
      </w:pPr>
      <w:r>
        <w:t>«131. Выпускаемые в обращение транспортные средс</w:t>
      </w:r>
      <w:r>
        <w:t>тва категории М</w:t>
      </w:r>
      <w:proofErr w:type="gramStart"/>
      <w:r>
        <w:t>1</w:t>
      </w:r>
      <w:proofErr w:type="gramEnd"/>
      <w:r>
        <w:t>, входящие в область применения Правил ЕЭК ООН N 94 и 95, и категории N1, входящие в область применения Правил ЕЭК ООН N 95, оснащаются системой вызова экстренных оперативных служб, прочие выпускаемые в обращение транспортные средства катег</w:t>
      </w:r>
      <w:r>
        <w:t>орий М1 и N1, транспортные средства категорий М2, М3, N2, N3 оснащаются устройством вызова экстренных оперативных служб.».</w:t>
      </w:r>
    </w:p>
    <w:p w:rsidR="00000000" w:rsidRDefault="00040F95">
      <w:pPr>
        <w:pStyle w:val="a5"/>
        <w:jc w:val="both"/>
        <w:divId w:val="1614627372"/>
      </w:pPr>
      <w:r>
        <w:t>4. Таблицу 4 приложения N 1 к указанному техническому регламенту дополнить позициями 117 и 118 следующего содержания:</w:t>
      </w:r>
    </w:p>
    <w:p w:rsidR="00000000" w:rsidRDefault="00040F95">
      <w:pPr>
        <w:pStyle w:val="a5"/>
        <w:jc w:val="both"/>
        <w:divId w:val="1614627372"/>
      </w:pPr>
      <w:r>
        <w:t>«117. Аппаратур</w:t>
      </w:r>
      <w:r>
        <w:t xml:space="preserve">а спутниковой навигации </w:t>
      </w:r>
    </w:p>
    <w:p w:rsidR="00000000" w:rsidRDefault="00040F95">
      <w:pPr>
        <w:pStyle w:val="a5"/>
        <w:jc w:val="both"/>
        <w:divId w:val="1614627372"/>
      </w:pPr>
      <w:r>
        <w:t>118. Устройство вызова экстренных оперативных служб».</w:t>
      </w:r>
    </w:p>
    <w:p w:rsidR="00000000" w:rsidRDefault="00040F95">
      <w:pPr>
        <w:pStyle w:val="a5"/>
        <w:jc w:val="both"/>
        <w:divId w:val="1614627372"/>
      </w:pPr>
      <w:r>
        <w:t xml:space="preserve">5. В приложении N 2 к указанному техническому регламенту: </w:t>
      </w:r>
    </w:p>
    <w:p w:rsidR="00000000" w:rsidRDefault="00040F95">
      <w:pPr>
        <w:pStyle w:val="a5"/>
        <w:jc w:val="both"/>
        <w:divId w:val="1614627372"/>
      </w:pPr>
      <w:r>
        <w:t>таблицу дополнить позициями 113 и 114 следующего содержания:</w:t>
      </w:r>
    </w:p>
    <w:p w:rsidR="00000000" w:rsidRDefault="00040F95">
      <w:pPr>
        <w:pStyle w:val="a5"/>
        <w:jc w:val="both"/>
        <w:divId w:val="1614627372"/>
      </w:pPr>
      <w:r>
        <w:t> </w:t>
      </w:r>
    </w:p>
    <w:tbl>
      <w:tblPr>
        <w:tblW w:w="1048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"/>
        <w:gridCol w:w="894"/>
        <w:gridCol w:w="1940"/>
        <w:gridCol w:w="2617"/>
        <w:gridCol w:w="2738"/>
        <w:gridCol w:w="1172"/>
        <w:gridCol w:w="739"/>
      </w:tblGrid>
      <w:tr w:rsidR="00000000">
        <w:trPr>
          <w:divId w:val="1614627372"/>
        </w:trPr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040F9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040F9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«113. 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040F9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Оснащение устройством вызова экстренных оперативных служб 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040F9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</w:t>
            </w:r>
            <w:proofErr w:type="gramStart"/>
            <w:r>
              <w:rPr>
                <w:rFonts w:eastAsia="Times New Roman"/>
              </w:rPr>
              <w:t>1</w:t>
            </w:r>
            <w:proofErr w:type="gramEnd"/>
            <w:r>
              <w:rPr>
                <w:rFonts w:eastAsia="Times New Roman"/>
              </w:rPr>
              <w:t xml:space="preserve">, не входящие в область применения Правил ЕЭК ООН N 94 и 95; N1, не входящие </w:t>
            </w:r>
            <w:r>
              <w:rPr>
                <w:rFonts w:eastAsia="Times New Roman"/>
              </w:rPr>
              <w:br/>
              <w:t>в область применения Правил ЕЭК ООН N 95,</w:t>
            </w:r>
          </w:p>
          <w:p w:rsidR="00000000" w:rsidRDefault="00040F95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М</w:t>
            </w:r>
            <w:proofErr w:type="gramStart"/>
            <w:r>
              <w:rPr>
                <w:rFonts w:eastAsia="Times New Roman"/>
              </w:rPr>
              <w:t>2</w:t>
            </w:r>
            <w:proofErr w:type="gramEnd"/>
            <w:r>
              <w:rPr>
                <w:rFonts w:eastAsia="Times New Roman"/>
              </w:rPr>
              <w:t xml:space="preserve">, М3, N2, N3 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040F9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Пункт 16 Приложения N 3 к настоящему техническому регл</w:t>
            </w:r>
            <w:r>
              <w:rPr>
                <w:rFonts w:eastAsia="Times New Roman"/>
              </w:rPr>
              <w:t xml:space="preserve">аменту </w:t>
            </w:r>
            <w:r>
              <w:rPr>
                <w:rFonts w:eastAsia="Times New Roman"/>
              </w:rPr>
              <w:br/>
              <w:t>(с 2015 г.)</w:t>
            </w:r>
            <w:r>
              <w:rPr>
                <w:rFonts w:eastAsia="Times New Roman"/>
              </w:rPr>
              <w:br/>
              <w:t>(с 2016 г.)</w:t>
            </w:r>
            <w:r>
              <w:rPr>
                <w:rFonts w:eastAsia="Times New Roman"/>
              </w:rPr>
              <w:br/>
              <w:t xml:space="preserve">(с 2017 г.) 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040F95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br/>
              <w:t> </w:t>
            </w:r>
            <w:r>
              <w:rPr>
                <w:rFonts w:eastAsia="Times New Roman"/>
              </w:rPr>
              <w:br/>
              <w:t> </w:t>
            </w:r>
            <w:r>
              <w:rPr>
                <w:rFonts w:eastAsia="Times New Roman"/>
              </w:rPr>
              <w:br/>
              <w:t> </w:t>
            </w:r>
            <w:r>
              <w:rPr>
                <w:rFonts w:eastAsia="Times New Roman"/>
              </w:rPr>
              <w:br/>
            </w:r>
            <w:proofErr w:type="gramStart"/>
            <w:r>
              <w:rPr>
                <w:rFonts w:eastAsia="Times New Roman"/>
              </w:rPr>
              <w:t>2)</w:t>
            </w:r>
            <w:r>
              <w:rPr>
                <w:rFonts w:eastAsia="Times New Roman"/>
              </w:rPr>
              <w:br/>
              <w:t xml:space="preserve">37) </w:t>
            </w:r>
            <w:proofErr w:type="gramEnd"/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040F9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</w:tr>
      <w:tr w:rsidR="00000000">
        <w:trPr>
          <w:divId w:val="1614627372"/>
        </w:trPr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040F9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040F9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114. 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040F9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Оснащение системой вызова экстренных оперативных служб 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040F9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</w:t>
            </w:r>
            <w:proofErr w:type="gramStart"/>
            <w:r>
              <w:rPr>
                <w:rFonts w:eastAsia="Times New Roman"/>
              </w:rPr>
              <w:t>1</w:t>
            </w:r>
            <w:proofErr w:type="gramEnd"/>
            <w:r>
              <w:rPr>
                <w:rFonts w:eastAsia="Times New Roman"/>
              </w:rPr>
              <w:t xml:space="preserve">, входящие в область применения Правил ЕЭК ООН N 94 и 95; N1, входящие 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в область применения Правил ЕЭК ООН N 95 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040F9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Пункт 17 Приложения N 3 к настоящему техническому регламенту </w:t>
            </w:r>
            <w:r>
              <w:rPr>
                <w:rFonts w:eastAsia="Times New Roman"/>
              </w:rPr>
              <w:br/>
              <w:t>(с 2015 г.)</w:t>
            </w:r>
            <w:r>
              <w:rPr>
                <w:rFonts w:eastAsia="Times New Roman"/>
              </w:rPr>
              <w:br/>
              <w:t xml:space="preserve">(с 2017 г.) 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040F95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br/>
              <w:t> </w:t>
            </w:r>
            <w:r>
              <w:rPr>
                <w:rFonts w:eastAsia="Times New Roman"/>
              </w:rPr>
              <w:br/>
              <w:t> </w:t>
            </w:r>
            <w:r>
              <w:rPr>
                <w:rFonts w:eastAsia="Times New Roman"/>
              </w:rPr>
              <w:br/>
              <w:t> </w:t>
            </w:r>
            <w:r>
              <w:rPr>
                <w:rFonts w:eastAsia="Times New Roman"/>
              </w:rPr>
              <w:br/>
              <w:t xml:space="preserve">2)»;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040F9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</w:tr>
    </w:tbl>
    <w:p w:rsidR="00000000" w:rsidRDefault="00040F95">
      <w:pPr>
        <w:pStyle w:val="a5"/>
        <w:jc w:val="both"/>
        <w:divId w:val="1614627372"/>
      </w:pPr>
      <w:r>
        <w:t> </w:t>
      </w:r>
    </w:p>
    <w:p w:rsidR="00000000" w:rsidRDefault="00040F95">
      <w:pPr>
        <w:pStyle w:val="a5"/>
        <w:jc w:val="both"/>
        <w:divId w:val="1614627372"/>
      </w:pPr>
      <w:r>
        <w:t xml:space="preserve">примечания дополнить пунктом 37 следующего содержания: </w:t>
      </w:r>
    </w:p>
    <w:p w:rsidR="00000000" w:rsidRDefault="00040F95">
      <w:pPr>
        <w:pStyle w:val="a5"/>
        <w:jc w:val="both"/>
        <w:divId w:val="1614627372"/>
      </w:pPr>
      <w:r>
        <w:t xml:space="preserve">«37) Требования распространяются на транспортные </w:t>
      </w:r>
      <w:r>
        <w:t>средства, используемые для коммерческой перевозки пассажиров, специально предназначенные для перевозки детей в возрасте от 6 до 16 лет и перевозки опасных грузов, твердых бытовых отходов и мусора (мусоровозы), а также на тягачи, используемые для буксировки</w:t>
      </w:r>
      <w:r>
        <w:t xml:space="preserve"> прицепов, перевозящих опасные грузы</w:t>
      </w:r>
      <w:proofErr w:type="gramStart"/>
      <w:r>
        <w:t>.».</w:t>
      </w:r>
      <w:proofErr w:type="gramEnd"/>
    </w:p>
    <w:p w:rsidR="00000000" w:rsidRDefault="00040F95">
      <w:pPr>
        <w:pStyle w:val="a5"/>
        <w:jc w:val="both"/>
        <w:divId w:val="1614627372"/>
      </w:pPr>
      <w:r>
        <w:t>6. Приложение N 3 к указанному техническому регламенту дополнить пунктами 16 и 17 следующего содержания:</w:t>
      </w:r>
    </w:p>
    <w:p w:rsidR="00000000" w:rsidRDefault="00040F95">
      <w:pPr>
        <w:pStyle w:val="a5"/>
        <w:jc w:val="both"/>
        <w:divId w:val="1614627372"/>
      </w:pPr>
      <w:r>
        <w:t> </w:t>
      </w:r>
    </w:p>
    <w:p w:rsidR="00000000" w:rsidRDefault="00040F95">
      <w:pPr>
        <w:jc w:val="center"/>
        <w:divId w:val="1614627372"/>
        <w:rPr>
          <w:rFonts w:eastAsia="Times New Roman"/>
        </w:rPr>
      </w:pPr>
      <w:r>
        <w:rPr>
          <w:rFonts w:eastAsia="Times New Roman"/>
        </w:rPr>
        <w:t>«16. Требования к транспортным средствам в отношении установки</w:t>
      </w:r>
      <w:r>
        <w:rPr>
          <w:rFonts w:eastAsia="Times New Roman"/>
        </w:rPr>
        <w:br/>
        <w:t>устройства вызова экстренных оперативных служб</w:t>
      </w:r>
      <w:r>
        <w:rPr>
          <w:rFonts w:eastAsia="Times New Roman"/>
        </w:rPr>
        <w:t xml:space="preserve"> </w:t>
      </w:r>
    </w:p>
    <w:p w:rsidR="00000000" w:rsidRDefault="00040F95">
      <w:pPr>
        <w:pStyle w:val="a5"/>
        <w:divId w:val="1614627372"/>
      </w:pPr>
      <w:r>
        <w:t> </w:t>
      </w:r>
    </w:p>
    <w:p w:rsidR="00000000" w:rsidRDefault="00040F95">
      <w:pPr>
        <w:pStyle w:val="a5"/>
        <w:jc w:val="both"/>
        <w:divId w:val="1614627372"/>
      </w:pPr>
      <w:r>
        <w:t>16.1. Транспортные средства категорий М</w:t>
      </w:r>
      <w:proofErr w:type="gramStart"/>
      <w:r>
        <w:t>1</w:t>
      </w:r>
      <w:proofErr w:type="gramEnd"/>
      <w:r>
        <w:t xml:space="preserve">, не входящие в область применения Правил ЕЭК ООН N 94 и 95, N1, не входящие </w:t>
      </w:r>
    </w:p>
    <w:p w:rsidR="00000000" w:rsidRDefault="00040F95">
      <w:pPr>
        <w:pStyle w:val="a5"/>
        <w:jc w:val="both"/>
        <w:divId w:val="1614627372"/>
      </w:pPr>
      <w:r>
        <w:t>в область применения Правил ЕЭК ООН N 95, М2, М3, N2 и N3 должны комплектоваться устройством вызова экстренных оперативных служб (дале</w:t>
      </w:r>
      <w:r>
        <w:t xml:space="preserve">е </w:t>
      </w:r>
      <w:proofErr w:type="gramStart"/>
      <w:r>
        <w:t>–у</w:t>
      </w:r>
      <w:proofErr w:type="gramEnd"/>
      <w:r>
        <w:t>стройство), соответствующим требованиям пункта 118 приложения N 10 к настоящему техническому регламенту.</w:t>
      </w:r>
    </w:p>
    <w:p w:rsidR="00000000" w:rsidRDefault="00040F95">
      <w:pPr>
        <w:pStyle w:val="a5"/>
        <w:jc w:val="both"/>
        <w:divId w:val="1614627372"/>
      </w:pPr>
      <w:r>
        <w:t>16.2. Устройство должно обеспечивать:</w:t>
      </w:r>
    </w:p>
    <w:p w:rsidR="00000000" w:rsidRDefault="00040F95">
      <w:pPr>
        <w:pStyle w:val="a5"/>
        <w:jc w:val="both"/>
        <w:divId w:val="1614627372"/>
      </w:pPr>
      <w:r>
        <w:t>16.2.1. Передачу сообщения о транспортном средстве, его текущем местоположении, направлении и скорости движен</w:t>
      </w:r>
      <w:r>
        <w:t>ия после нажатия кнопки экстренного вызова, а с 1 января 2017 г. – также автоматически при опрокидывании транспортного средства;</w:t>
      </w:r>
    </w:p>
    <w:p w:rsidR="00000000" w:rsidRDefault="00040F95">
      <w:pPr>
        <w:pStyle w:val="a5"/>
        <w:jc w:val="both"/>
        <w:divId w:val="1614627372"/>
      </w:pPr>
      <w:r>
        <w:t>16.2.2. Двустороннюю громкую голосовую связь с экстренными оперативными службами через сети подвижной радиотелефонной связи.</w:t>
      </w:r>
    </w:p>
    <w:p w:rsidR="00000000" w:rsidRDefault="00040F95">
      <w:pPr>
        <w:pStyle w:val="a5"/>
        <w:jc w:val="both"/>
        <w:divId w:val="1614627372"/>
      </w:pPr>
      <w:r>
        <w:t>16</w:t>
      </w:r>
      <w:r>
        <w:t>.3. Кнопка вызова экстренных оперативных служб должна устанавливаться в месте, которое находится в зоне прямой видимости с места водителя и сидящего впереди пассажира – мужчин 50-перцентильного уровня репрезентативности (если конструкция транспортного сред</w:t>
      </w:r>
      <w:r>
        <w:t>ства предусматривает нахождение сидящего впереди пассажира рядом с местом водителя) и обеспечивает возможность досягаемости ими кнопки вызова без отсоединения ремней безопасности.</w:t>
      </w:r>
    </w:p>
    <w:p w:rsidR="00000000" w:rsidRDefault="00040F95">
      <w:pPr>
        <w:pStyle w:val="a5"/>
        <w:jc w:val="both"/>
        <w:divId w:val="1614627372"/>
      </w:pPr>
      <w:r>
        <w:t xml:space="preserve">16.4. Кнопка вызова экстренных оперативных служб должна иметь защиту </w:t>
      </w:r>
    </w:p>
    <w:p w:rsidR="00000000" w:rsidRDefault="00040F95">
      <w:pPr>
        <w:pStyle w:val="a5"/>
        <w:jc w:val="both"/>
        <w:divId w:val="1614627372"/>
      </w:pPr>
      <w:r>
        <w:t>от неп</w:t>
      </w:r>
      <w:r>
        <w:t>реднамеренного нажатия механическим способом.</w:t>
      </w:r>
    </w:p>
    <w:p w:rsidR="00000000" w:rsidRDefault="00040F95">
      <w:pPr>
        <w:pStyle w:val="a5"/>
        <w:jc w:val="both"/>
        <w:divId w:val="1614627372"/>
      </w:pPr>
      <w:r>
        <w:t>16.5. Кнопка вызова экстренных оперативных служб должна быть обеспечена подсветкой.</w:t>
      </w:r>
    </w:p>
    <w:p w:rsidR="00000000" w:rsidRDefault="00040F95">
      <w:pPr>
        <w:pStyle w:val="a5"/>
        <w:jc w:val="both"/>
        <w:divId w:val="1614627372"/>
      </w:pPr>
      <w:r>
        <w:t xml:space="preserve">16.6. Оптический индикатор состояния устройства красного цвета постоянного (немигающего) свечения, </w:t>
      </w:r>
      <w:proofErr w:type="gramStart"/>
      <w:r>
        <w:t>видимый</w:t>
      </w:r>
      <w:proofErr w:type="gramEnd"/>
      <w:r>
        <w:t xml:space="preserve"> в том числе в светл</w:t>
      </w:r>
      <w:r>
        <w:t xml:space="preserve">ое время суток, размещается в области прямой видимости с места водителя и сидящего впереди пассажира, удовлетворяющих критериям, установленным пунктом 16.3. Указанный индикатор включается: </w:t>
      </w:r>
    </w:p>
    <w:p w:rsidR="00000000" w:rsidRDefault="00040F95">
      <w:pPr>
        <w:pStyle w:val="a5"/>
        <w:jc w:val="both"/>
        <w:divId w:val="1614627372"/>
      </w:pPr>
      <w:r>
        <w:t>кратковременно (от 3 до 10 секунд) при подаче электроэнергии на эл</w:t>
      </w:r>
      <w:r>
        <w:t>ектрическое оборудование транспортного средства при переводе включателя зажигания (пускового переключателя) в положение «включено» (рабочее положение);</w:t>
      </w:r>
    </w:p>
    <w:p w:rsidR="00000000" w:rsidRDefault="00040F95">
      <w:pPr>
        <w:pStyle w:val="a5"/>
        <w:jc w:val="both"/>
        <w:divId w:val="1614627372"/>
      </w:pPr>
      <w:r>
        <w:t xml:space="preserve">при возникновении (наличии) неисправности в системе, не позволяющей выполнять требования пункта 16.2, и </w:t>
      </w:r>
      <w:r>
        <w:t>остается включенным в течение всего времени наличия неисправности при нахождении включателя зажигания (пускового переключателя) в положении «включено» (рабочем положении).</w:t>
      </w:r>
    </w:p>
    <w:p w:rsidR="00000000" w:rsidRDefault="00040F95">
      <w:pPr>
        <w:pStyle w:val="a5"/>
        <w:jc w:val="both"/>
        <w:divId w:val="1614627372"/>
      </w:pPr>
      <w:proofErr w:type="gramStart"/>
      <w:r>
        <w:t>Допускается отсутствие оптического индикатора, удовлетворяющего указанным требования</w:t>
      </w:r>
      <w:r>
        <w:t>м, в случае обеспечения возможности подтверждения исправности устройства при каждой подаче электроэнергии на электрическое оборудование транспортного средства при переводе включателя зажигания (пускового переключателя) в положение «включено» (рабочее полож</w:t>
      </w:r>
      <w:r>
        <w:t>ение) посредством использования другого оптического индикатора, а также выведения на комбинацию приборов текстового сообщения о неисправности устройства, которое сохраняется в течение всего времени наличия неисправности при нахождении</w:t>
      </w:r>
      <w:proofErr w:type="gramEnd"/>
      <w:r>
        <w:t xml:space="preserve"> включателя зажигания </w:t>
      </w:r>
      <w:r>
        <w:t>(пускового переключателя) в положении «включено» (рабочем положении).</w:t>
      </w:r>
    </w:p>
    <w:p w:rsidR="00000000" w:rsidRDefault="00040F95">
      <w:pPr>
        <w:pStyle w:val="a5"/>
        <w:jc w:val="both"/>
        <w:divId w:val="1614627372"/>
      </w:pPr>
      <w:r>
        <w:t>16.7. Кнопка вызова экстренных оперативных служб и индикатор состояния устройства должны иметь идентифицирующие их символы. Индикатор состояния устройства может конструктивно совмещаться</w:t>
      </w:r>
      <w:r>
        <w:t xml:space="preserve"> с кнопкой вызова экстренных оперативных служб.</w:t>
      </w:r>
    </w:p>
    <w:p w:rsidR="00000000" w:rsidRDefault="00040F95">
      <w:pPr>
        <w:pStyle w:val="a5"/>
        <w:jc w:val="both"/>
        <w:divId w:val="1614627372"/>
      </w:pPr>
      <w:r>
        <w:t> </w:t>
      </w:r>
    </w:p>
    <w:p w:rsidR="00000000" w:rsidRDefault="00040F95">
      <w:pPr>
        <w:jc w:val="center"/>
        <w:divId w:val="1614627372"/>
        <w:rPr>
          <w:rFonts w:eastAsia="Times New Roman"/>
        </w:rPr>
      </w:pPr>
      <w:r>
        <w:rPr>
          <w:rFonts w:eastAsia="Times New Roman"/>
        </w:rPr>
        <w:t>17. Требования к транспортным средствам в отношении установки</w:t>
      </w:r>
      <w:r>
        <w:rPr>
          <w:rFonts w:eastAsia="Times New Roman"/>
        </w:rPr>
        <w:br/>
        <w:t>системы вызова экстренных оперативных служб</w:t>
      </w:r>
      <w:r>
        <w:rPr>
          <w:rFonts w:eastAsia="Times New Roman"/>
        </w:rPr>
        <w:br/>
        <w:t xml:space="preserve">  </w:t>
      </w:r>
    </w:p>
    <w:p w:rsidR="00000000" w:rsidRDefault="00040F95">
      <w:pPr>
        <w:pStyle w:val="a5"/>
        <w:jc w:val="both"/>
        <w:divId w:val="1614627372"/>
      </w:pPr>
      <w:r>
        <w:t>17.1. Транспортные средства категорий М</w:t>
      </w:r>
      <w:proofErr w:type="gramStart"/>
      <w:r>
        <w:t>1</w:t>
      </w:r>
      <w:proofErr w:type="gramEnd"/>
      <w:r>
        <w:t>, входящие в область применения Правил ЕЭК ООН N 94 и 95,</w:t>
      </w:r>
      <w:r>
        <w:t xml:space="preserve"> и категории N1, входящие в область применения Правил ЕЭК ООН N 95, должны комплектоваться системой вызова экстренных оперативных служб (далее – система), удовлетворяющей требованиям пунктов 16.2 – 16.7 настоящего приложения, а также пункта 118 приложения </w:t>
      </w:r>
      <w:r>
        <w:t>N 10 к настоящему техническому регламенту.</w:t>
      </w:r>
    </w:p>
    <w:p w:rsidR="00000000" w:rsidRDefault="00040F95">
      <w:pPr>
        <w:pStyle w:val="a5"/>
        <w:jc w:val="both"/>
        <w:divId w:val="1614627372"/>
      </w:pPr>
      <w:r>
        <w:t>17.2. Система должна дополнительно обеспечивать:</w:t>
      </w:r>
    </w:p>
    <w:p w:rsidR="00000000" w:rsidRDefault="00040F95">
      <w:pPr>
        <w:pStyle w:val="a5"/>
        <w:jc w:val="both"/>
        <w:divId w:val="1614627372"/>
      </w:pPr>
      <w:r>
        <w:t xml:space="preserve">17.2.1. </w:t>
      </w:r>
      <w:proofErr w:type="gramStart"/>
      <w:r>
        <w:t>Передачу сообщения о транспортном средстве автоматически при срабатывании подушки (подушек) безопасности или по сигналу датчика (датчиков) других компоненто</w:t>
      </w:r>
      <w:r>
        <w:t>в системы пассивной безопасности либо других систем транспортного средства, определяющего (определяющих) уровень замедления транспортного средства при проведении испытаний, предусмотренных Правилами ЕЭК ООН N 94 и 95 (для транспортных средств, на которые р</w:t>
      </w:r>
      <w:r>
        <w:t>аспространяется действие указанных Правил.</w:t>
      </w:r>
      <w:proofErr w:type="gramEnd"/>
      <w:r>
        <w:t xml:space="preserve"> </w:t>
      </w:r>
      <w:proofErr w:type="gramStart"/>
      <w:r>
        <w:t>Для транспортных средств категории N1 вместо испытаний по Правилам ЕЭК ООН N 94 проводятся испытания по Правилам ЕЭК ООН N 12);</w:t>
      </w:r>
      <w:proofErr w:type="gramEnd"/>
    </w:p>
    <w:p w:rsidR="00000000" w:rsidRDefault="00040F95">
      <w:pPr>
        <w:pStyle w:val="a5"/>
        <w:jc w:val="both"/>
        <w:divId w:val="1614627372"/>
      </w:pPr>
      <w:r>
        <w:t>17.2.2. После проведения указанных в пункте 17.2.1 испытаний сохранение работоспособн</w:t>
      </w:r>
      <w:r>
        <w:t>ости и двустороннюю голосовую связь с экстренными оперативными службами.</w:t>
      </w:r>
    </w:p>
    <w:p w:rsidR="00000000" w:rsidRDefault="00040F95">
      <w:pPr>
        <w:pStyle w:val="a5"/>
        <w:jc w:val="both"/>
        <w:divId w:val="1614627372"/>
      </w:pPr>
      <w:r>
        <w:t>17.3. В целях выполнения требований пункта 17.2.1 транспортные средства должны оснащаться, по меньшей мере, подушкой безопасности водителя</w:t>
      </w:r>
      <w:proofErr w:type="gramStart"/>
      <w:r>
        <w:t>.».</w:t>
      </w:r>
      <w:proofErr w:type="gramEnd"/>
    </w:p>
    <w:p w:rsidR="00000000" w:rsidRDefault="00040F95">
      <w:pPr>
        <w:pStyle w:val="a5"/>
        <w:jc w:val="both"/>
        <w:divId w:val="1614627372"/>
      </w:pPr>
      <w:r>
        <w:t>7. Приложение N 4 к указанному техническо</w:t>
      </w:r>
      <w:r>
        <w:t>му регламенту дополнить пунктом 5 следующего содержания:</w:t>
      </w:r>
    </w:p>
    <w:p w:rsidR="00000000" w:rsidRDefault="00040F95">
      <w:pPr>
        <w:pStyle w:val="a5"/>
        <w:jc w:val="both"/>
        <w:divId w:val="1614627372"/>
      </w:pPr>
      <w:r>
        <w:t> </w:t>
      </w:r>
    </w:p>
    <w:p w:rsidR="00000000" w:rsidRDefault="00040F95">
      <w:pPr>
        <w:jc w:val="center"/>
        <w:divId w:val="1614627372"/>
        <w:rPr>
          <w:rFonts w:eastAsia="Times New Roman"/>
        </w:rPr>
      </w:pPr>
      <w:r>
        <w:rPr>
          <w:rFonts w:eastAsia="Times New Roman"/>
        </w:rPr>
        <w:t>«5. Требования к транспортным средствам в отношении установки</w:t>
      </w:r>
      <w:r>
        <w:rPr>
          <w:rFonts w:eastAsia="Times New Roman"/>
        </w:rPr>
        <w:br/>
        <w:t>устройства (системы) вызова экстренных оперативных служб</w:t>
      </w:r>
      <w:r>
        <w:rPr>
          <w:rFonts w:eastAsia="Times New Roman"/>
        </w:rPr>
        <w:br/>
        <w:t xml:space="preserve">  </w:t>
      </w:r>
    </w:p>
    <w:p w:rsidR="00000000" w:rsidRDefault="00040F95">
      <w:pPr>
        <w:pStyle w:val="a5"/>
        <w:jc w:val="both"/>
        <w:divId w:val="1614627372"/>
      </w:pPr>
      <w:r>
        <w:t>5.1. Транспортные средства категорий М</w:t>
      </w:r>
      <w:proofErr w:type="gramStart"/>
      <w:r>
        <w:t>1</w:t>
      </w:r>
      <w:proofErr w:type="gramEnd"/>
      <w:r>
        <w:t>, не входящие в область применения Правил ЕЭК ООН N 94 и 95, категории N1, не входящие в область применения Правил ЕЭК ООН N 95, М2, М3, N2 и N3 должны комплектоваться устройством вызова экстренных оперативных служб (</w:t>
      </w:r>
      <w:r>
        <w:t>далее – устройство), соответствующим требованиям пункта 118 приложения N 10 к настоящему техническому регламенту.</w:t>
      </w:r>
    </w:p>
    <w:p w:rsidR="00000000" w:rsidRDefault="00040F95">
      <w:pPr>
        <w:pStyle w:val="a5"/>
        <w:jc w:val="both"/>
        <w:divId w:val="1614627372"/>
      </w:pPr>
      <w:r>
        <w:t>Устройство должно обеспечивать выполнение требований, установленных пунктом 16 приложения N 3 к настоящему техническому регламенту.</w:t>
      </w:r>
    </w:p>
    <w:p w:rsidR="00000000" w:rsidRDefault="00040F95">
      <w:pPr>
        <w:pStyle w:val="a5"/>
        <w:jc w:val="both"/>
        <w:divId w:val="1614627372"/>
      </w:pPr>
      <w:r>
        <w:t>5.2. Транс</w:t>
      </w:r>
      <w:r>
        <w:t>портные средства категории М</w:t>
      </w:r>
      <w:proofErr w:type="gramStart"/>
      <w:r>
        <w:t>1</w:t>
      </w:r>
      <w:proofErr w:type="gramEnd"/>
      <w:r>
        <w:t>, входящие в область применения Правил ЕЭК ООН N 94 и 95, и категории N1, входящие в область применения Правил ЕЭК ООН N 95, должны комплектоваться системой вызова экстренных оперативных служб (далее – система).</w:t>
      </w:r>
    </w:p>
    <w:p w:rsidR="00000000" w:rsidRDefault="00040F95">
      <w:pPr>
        <w:pStyle w:val="a5"/>
        <w:jc w:val="both"/>
        <w:divId w:val="1614627372"/>
      </w:pPr>
      <w:r>
        <w:t xml:space="preserve">Система должна </w:t>
      </w:r>
      <w:r>
        <w:t>обеспечивать выполнение требований, установленных пунктом 17 приложения N 3 к настоящему техническому регламенту.</w:t>
      </w:r>
    </w:p>
    <w:p w:rsidR="00000000" w:rsidRDefault="00040F95">
      <w:pPr>
        <w:pStyle w:val="a5"/>
        <w:jc w:val="both"/>
        <w:divId w:val="1614627372"/>
      </w:pPr>
      <w:r>
        <w:t>5.3. Требования, установленные пунктом 5 настоящего приложения, применяются:</w:t>
      </w:r>
    </w:p>
    <w:p w:rsidR="00000000" w:rsidRDefault="00040F95">
      <w:pPr>
        <w:pStyle w:val="a5"/>
        <w:jc w:val="both"/>
        <w:divId w:val="1614627372"/>
      </w:pPr>
      <w:r>
        <w:t>с 1 января 2016 г. – в отношении транспортных средств категорий М</w:t>
      </w:r>
      <w:proofErr w:type="gramStart"/>
      <w:r>
        <w:t>1</w:t>
      </w:r>
      <w:proofErr w:type="gramEnd"/>
      <w:r>
        <w:t>, не входящих в область применения Правил ЕЭК ООН N 94 и 95, категории N1, не входящих в область применения Правил ЕЭК ООН N 95, М2, М3, N2 и N3, используемых для коммерческой перевозки пассажиров, специально предназначенных для перевозки детей в возрасте</w:t>
      </w:r>
      <w:r>
        <w:t xml:space="preserve"> от 6 до 16 лет, а также для перевозки опасных грузов, тягачей, используемых для буксировки прицепов, перевозящих опасные грузы;</w:t>
      </w:r>
    </w:p>
    <w:p w:rsidR="00000000" w:rsidRDefault="00040F95">
      <w:pPr>
        <w:pStyle w:val="a5"/>
        <w:jc w:val="both"/>
        <w:divId w:val="1614627372"/>
      </w:pPr>
      <w:r>
        <w:t>с 1 января 2017 г. – в отношении всех транспортных средств категорий М и N.».</w:t>
      </w:r>
    </w:p>
    <w:p w:rsidR="00000000" w:rsidRDefault="00040F95">
      <w:pPr>
        <w:pStyle w:val="a5"/>
        <w:jc w:val="both"/>
        <w:divId w:val="1614627372"/>
      </w:pPr>
      <w:r>
        <w:t>8. Приложение N 8 к указанному техническому регла</w:t>
      </w:r>
      <w:r>
        <w:t>менту дополнить пунктами 10.20 и 10.21 следующего содержания:</w:t>
      </w:r>
    </w:p>
    <w:p w:rsidR="00000000" w:rsidRDefault="00040F95">
      <w:pPr>
        <w:pStyle w:val="a5"/>
        <w:jc w:val="both"/>
        <w:divId w:val="1614627372"/>
      </w:pPr>
      <w:r>
        <w:t>«10.20. Установленные на транспортном средстве устройство или система вызова экстренных оперативных служб должны быть работоспособными.</w:t>
      </w:r>
    </w:p>
    <w:p w:rsidR="00000000" w:rsidRDefault="00040F95">
      <w:pPr>
        <w:pStyle w:val="a5"/>
        <w:jc w:val="both"/>
        <w:divId w:val="1614627372"/>
      </w:pPr>
      <w:r>
        <w:t>10.21. Установленная на транспортном средстве аппаратура с</w:t>
      </w:r>
      <w:r>
        <w:t>путниковой навигации должна быть работоспособной</w:t>
      </w:r>
      <w:proofErr w:type="gramStart"/>
      <w:r>
        <w:t>.».</w:t>
      </w:r>
      <w:proofErr w:type="gramEnd"/>
    </w:p>
    <w:p w:rsidR="00000000" w:rsidRDefault="00040F95">
      <w:pPr>
        <w:pStyle w:val="a5"/>
        <w:jc w:val="both"/>
        <w:divId w:val="1614627372"/>
      </w:pPr>
      <w:r>
        <w:t>9. Приложение N 10 к указанному техническому регламенту дополнить позициями 117 и 118 следующего содержания:</w:t>
      </w:r>
    </w:p>
    <w:p w:rsidR="00000000" w:rsidRDefault="00040F95">
      <w:pPr>
        <w:pStyle w:val="a5"/>
        <w:jc w:val="both"/>
        <w:divId w:val="1614627372"/>
      </w:pPr>
      <w:r>
        <w:t> </w:t>
      </w:r>
    </w:p>
    <w:tbl>
      <w:tblPr>
        <w:tblW w:w="106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0"/>
        <w:gridCol w:w="806"/>
        <w:gridCol w:w="1869"/>
        <w:gridCol w:w="551"/>
        <w:gridCol w:w="6250"/>
        <w:gridCol w:w="609"/>
      </w:tblGrid>
      <w:tr w:rsidR="00000000">
        <w:trPr>
          <w:divId w:val="1614627372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040F95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040F95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117. </w:t>
            </w: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040F9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Аппаратура спутниковой навигации 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040F9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2с 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040F95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Правила ЕЭК ООН N 10 – 03.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Должны обеспечиваться:</w:t>
            </w:r>
            <w:r>
              <w:rPr>
                <w:rFonts w:eastAsia="Times New Roman"/>
              </w:rPr>
              <w:br/>
              <w:t>наличие персональной универсальной многопрофильной идентификационной карты абонента для работы в сетях подвижной радиотелефонной связи стандартов GSM 900 и GSM 1800;</w:t>
            </w:r>
            <w:r>
              <w:rPr>
                <w:rFonts w:eastAsia="Times New Roman"/>
              </w:rPr>
              <w:br/>
              <w:t>возможность обновления информации, хранящейся на персональной униве</w:t>
            </w:r>
            <w:r>
              <w:rPr>
                <w:rFonts w:eastAsia="Times New Roman"/>
              </w:rPr>
              <w:t>рсальной многопрофильной идентификационной карте абонента, по сетям подвижной радиотелефонной связи стандартов GSM 900 и GSM 1800;</w:t>
            </w:r>
            <w:r>
              <w:rPr>
                <w:rFonts w:eastAsia="Times New Roman"/>
              </w:rPr>
              <w:br/>
              <w:t xml:space="preserve">возможность осуществления голосовой связи в режиме громкой связи по сетям подвижной радиотелефонной связи стандартов GSM 900 </w:t>
            </w:r>
            <w:r>
              <w:rPr>
                <w:rFonts w:eastAsia="Times New Roman"/>
              </w:rPr>
              <w:t xml:space="preserve">и GSM 1800; </w:t>
            </w:r>
            <w:r>
              <w:rPr>
                <w:rFonts w:eastAsia="Times New Roman"/>
              </w:rPr>
              <w:br/>
              <w:t>индикация состояния аппаратуры;</w:t>
            </w:r>
            <w:r>
              <w:rPr>
                <w:rFonts w:eastAsia="Times New Roman"/>
              </w:rPr>
              <w:br/>
              <w:t>возможность передачи и приема информации по сетям подвижной радиотелефонной связи стандартов GSM 900 и GSM 1800 посредством пакетной передачи данных или коротких текстовых сообщений;</w:t>
            </w:r>
            <w:r>
              <w:rPr>
                <w:rFonts w:eastAsia="Times New Roman"/>
              </w:rPr>
              <w:br/>
            </w:r>
            <w:proofErr w:type="gramStart"/>
            <w:r>
              <w:rPr>
                <w:rFonts w:eastAsia="Times New Roman"/>
              </w:rPr>
              <w:t>возможность использования ин</w:t>
            </w:r>
            <w:r>
              <w:rPr>
                <w:rFonts w:eastAsia="Times New Roman"/>
              </w:rPr>
              <w:t>терфейсов RS232, RS485, CAN и USB для обмена данными с внешними устройствами и наличие не менее двух дискретных и двух аналоговых входов;</w:t>
            </w:r>
            <w:r>
              <w:rPr>
                <w:rFonts w:eastAsia="Times New Roman"/>
              </w:rPr>
              <w:br/>
              <w:t>определение местоположения транспортного средства с погрешностью не более 15 м по координатным осям и скорости транспо</w:t>
            </w:r>
            <w:r>
              <w:rPr>
                <w:rFonts w:eastAsia="Times New Roman"/>
              </w:rPr>
              <w:t>ртного средства с погрешностью не более 0,1 м/с при доверительной вероятности 0,95;</w:t>
            </w:r>
            <w:proofErr w:type="gramEnd"/>
            <w:r>
              <w:rPr>
                <w:rFonts w:eastAsia="Times New Roman"/>
              </w:rPr>
              <w:br/>
            </w:r>
            <w:proofErr w:type="gramStart"/>
            <w:r>
              <w:rPr>
                <w:rFonts w:eastAsia="Times New Roman"/>
              </w:rPr>
              <w:t>объем внутренней энергонезависимой памяти, обеспечивающий запись:</w:t>
            </w:r>
            <w:r>
              <w:rPr>
                <w:rFonts w:eastAsia="Times New Roman"/>
              </w:rPr>
              <w:br/>
              <w:t>для транспортных средств категории М – не менее 150 000 последовательно зарегистрированных событий;</w:t>
            </w:r>
            <w:r>
              <w:rPr>
                <w:rFonts w:eastAsia="Times New Roman"/>
              </w:rPr>
              <w:br/>
              <w:t>для тр</w:t>
            </w:r>
            <w:r>
              <w:rPr>
                <w:rFonts w:eastAsia="Times New Roman"/>
              </w:rPr>
              <w:t>анспортных средств категории N – не менее 20 000 последовательно зарегистрированных событий;</w:t>
            </w:r>
            <w:r>
              <w:rPr>
                <w:rFonts w:eastAsia="Times New Roman"/>
              </w:rPr>
              <w:br/>
              <w:t>сохранение во внутренней памяти сообщений, которые не удалось передать по сетям подвижной радиотелефонной связи стандартов GSM 900 и GSM 1800, и передача этих сооб</w:t>
            </w:r>
            <w:r>
              <w:rPr>
                <w:rFonts w:eastAsia="Times New Roman"/>
              </w:rPr>
              <w:t xml:space="preserve">щений при восстановлении связи. </w:t>
            </w:r>
            <w:proofErr w:type="gramEnd"/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040F95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</w:tr>
    </w:tbl>
    <w:p w:rsidR="00000000" w:rsidRDefault="00040F95">
      <w:pPr>
        <w:pStyle w:val="a5"/>
        <w:divId w:val="1614627372"/>
      </w:pPr>
      <w:r>
        <w:t> </w:t>
      </w:r>
    </w:p>
    <w:tbl>
      <w:tblPr>
        <w:tblW w:w="106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2"/>
        <w:gridCol w:w="821"/>
        <w:gridCol w:w="1913"/>
        <w:gridCol w:w="551"/>
        <w:gridCol w:w="6369"/>
        <w:gridCol w:w="609"/>
      </w:tblGrid>
      <w:tr w:rsidR="00000000">
        <w:trPr>
          <w:divId w:val="1614627372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040F95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040F95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118.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040F9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Устройство вызова экстренных оперативных служб 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040F9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2с </w:t>
            </w:r>
          </w:p>
        </w:tc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040F95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Правила ЕЭК ООН N 10 – 03.</w:t>
            </w:r>
            <w:r>
              <w:rPr>
                <w:rFonts w:eastAsia="Times New Roman"/>
              </w:rPr>
              <w:br/>
              <w:t xml:space="preserve">Работоспособность устройства обеспечивается при температуре окружающего воздуха от - 40 ОС до 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+ 85 ОС. Для резервной батареи (при наличии) допускается минимальная рабочая температура не выше - 20 ОС.</w:t>
            </w:r>
            <w:r>
              <w:rPr>
                <w:rFonts w:eastAsia="Times New Roman"/>
              </w:rPr>
              <w:br/>
              <w:t>Работоспособность устройства и его крепления на транспортном средстве сохраняются при нагрузках, возникающих при проведении динамических испытаний в с</w:t>
            </w:r>
            <w:r>
              <w:rPr>
                <w:rFonts w:eastAsia="Times New Roman"/>
              </w:rPr>
              <w:t>оответствии с добавлением к Приложению 9 к Правилам ЕЭК ООН N 17.</w:t>
            </w:r>
            <w:r>
              <w:rPr>
                <w:rFonts w:eastAsia="Times New Roman"/>
              </w:rPr>
              <w:br/>
              <w:t>Устройство имеет неснимаемую персональную универсальную многопрофильную идентификационную карту абонента для работы в сетях подвижной радиотелефонной связи стандартов GSM 900 и GSM 1800, а т</w:t>
            </w:r>
            <w:r>
              <w:rPr>
                <w:rFonts w:eastAsia="Times New Roman"/>
              </w:rPr>
              <w:t>акже UMTS 900 и UMTS 2000.</w:t>
            </w:r>
            <w:r>
              <w:rPr>
                <w:rFonts w:eastAsia="Times New Roman"/>
              </w:rPr>
              <w:br/>
            </w:r>
            <w:proofErr w:type="gramStart"/>
            <w:r>
              <w:rPr>
                <w:rFonts w:eastAsia="Times New Roman"/>
              </w:rPr>
              <w:t>Устройство обеспечивает:</w:t>
            </w:r>
            <w:r>
              <w:rPr>
                <w:rFonts w:eastAsia="Times New Roman"/>
              </w:rPr>
              <w:br/>
              <w:t>определение местоположения с погрешностью не более 15 м по координатным осям при доверительной вероятности 0,95;</w:t>
            </w:r>
            <w:r>
              <w:rPr>
                <w:rFonts w:eastAsia="Times New Roman"/>
              </w:rPr>
              <w:br/>
              <w:t>установление двухстороннего дуплексного голосового соединения в режиме громкой связи c опер</w:t>
            </w:r>
            <w:r>
              <w:rPr>
                <w:rFonts w:eastAsia="Times New Roman"/>
              </w:rPr>
              <w:t>атором экстренных оперативных служб;</w:t>
            </w:r>
            <w:r>
              <w:rPr>
                <w:rFonts w:eastAsia="Times New Roman"/>
              </w:rPr>
              <w:br/>
              <w:t>передачу сообщения о транспортном средстве с использованием тонального модема, работающего в сетях подвижной радиотелефонной связи стандартов GSM 900 и GSM 1800, UMTS 900 и UMTS 2000;</w:t>
            </w:r>
            <w:proofErr w:type="gramEnd"/>
            <w:r>
              <w:rPr>
                <w:rFonts w:eastAsia="Times New Roman"/>
              </w:rPr>
              <w:br/>
            </w:r>
            <w:proofErr w:type="gramStart"/>
            <w:r>
              <w:rPr>
                <w:rFonts w:eastAsia="Times New Roman"/>
              </w:rPr>
              <w:t>обязательные признаки приоритетност</w:t>
            </w:r>
            <w:r>
              <w:rPr>
                <w:rFonts w:eastAsia="Times New Roman"/>
              </w:rPr>
              <w:t xml:space="preserve">и экстренного вызова в сетях подвижной радиотелефонной связи стандартов GSM 900 и </w:t>
            </w:r>
            <w:r>
              <w:rPr>
                <w:rFonts w:eastAsia="Times New Roman"/>
              </w:rPr>
              <w:br/>
              <w:t>GSM 1800, UMTS 900 и UMTS 2000;</w:t>
            </w:r>
            <w:r>
              <w:rPr>
                <w:rFonts w:eastAsia="Times New Roman"/>
              </w:rPr>
              <w:br/>
              <w:t xml:space="preserve">при невозможности передачи информации с использованием тонального модема, работающего в сетях подвижной радиотелефонной связи, в течение </w:t>
            </w:r>
            <w:r>
              <w:rPr>
                <w:rFonts w:eastAsia="Times New Roman"/>
              </w:rPr>
              <w:br/>
              <w:t xml:space="preserve">20 </w:t>
            </w:r>
            <w:r>
              <w:rPr>
                <w:rFonts w:eastAsia="Times New Roman"/>
              </w:rPr>
              <w:t>секунд после начала передачи информации – прекращение использования тонального модема и осуществление повторной передачи информации посредством использования коротких текстовых сообщений (СМС);</w:t>
            </w:r>
            <w:proofErr w:type="gramEnd"/>
            <w:r>
              <w:rPr>
                <w:rFonts w:eastAsia="Times New Roman"/>
              </w:rPr>
              <w:br/>
            </w:r>
            <w:proofErr w:type="gramStart"/>
            <w:r>
              <w:rPr>
                <w:rFonts w:eastAsia="Times New Roman"/>
              </w:rPr>
              <w:t>возможность повторной передачи информации с использованием тон</w:t>
            </w:r>
            <w:r>
              <w:rPr>
                <w:rFonts w:eastAsia="Times New Roman"/>
              </w:rPr>
              <w:t xml:space="preserve">ального модема, работающего через установленное голосовое соединение, и посредством использования СМС в сетях подвижной радиотелефонной связи стандартов GSM 900 и </w:t>
            </w:r>
            <w:r>
              <w:rPr>
                <w:rFonts w:eastAsia="Times New Roman"/>
              </w:rPr>
              <w:br/>
              <w:t>GSM 1800, UMTS 900 и UMTS 2000;</w:t>
            </w:r>
            <w:r>
              <w:rPr>
                <w:rFonts w:eastAsia="Times New Roman"/>
              </w:rPr>
              <w:br/>
              <w:t>после завершения экстренного вызова прием команды на осущест</w:t>
            </w:r>
            <w:r>
              <w:rPr>
                <w:rFonts w:eastAsia="Times New Roman"/>
              </w:rPr>
              <w:t>вление повторного экстренного вызова, поступающей в виде СМС, и осуществление повторного экстренного вызова в течение настраиваемого промежутка времени;</w:t>
            </w:r>
            <w:proofErr w:type="gramEnd"/>
            <w:r>
              <w:rPr>
                <w:rFonts w:eastAsia="Times New Roman"/>
              </w:rPr>
              <w:br/>
            </w:r>
            <w:proofErr w:type="gramStart"/>
            <w:r>
              <w:rPr>
                <w:rFonts w:eastAsia="Times New Roman"/>
              </w:rPr>
              <w:t>отключение при осуществлении экстренного вызова иных средств воспроизведения звука на транспортном сред</w:t>
            </w:r>
            <w:r>
              <w:rPr>
                <w:rFonts w:eastAsia="Times New Roman"/>
              </w:rPr>
              <w:t>стве на период голосового соединения, за исключением средств специальной связи;</w:t>
            </w:r>
            <w:r>
              <w:rPr>
                <w:rFonts w:eastAsia="Times New Roman"/>
              </w:rPr>
              <w:br/>
              <w:t xml:space="preserve">при невозможности передачи информации посредством использования сетей подвижной радиотелефонной связи стандартов GSM 900 и </w:t>
            </w:r>
            <w:r>
              <w:rPr>
                <w:rFonts w:eastAsia="Times New Roman"/>
              </w:rPr>
              <w:br/>
              <w:t>GSM 1800, UMTS 900 и UMTS 2000 – сохранение в энерго</w:t>
            </w:r>
            <w:r>
              <w:rPr>
                <w:rFonts w:eastAsia="Times New Roman"/>
              </w:rPr>
              <w:t>независимой памяти непереданной информации и передачу ее при восстановлении такой возможности;</w:t>
            </w:r>
            <w:proofErr w:type="gramEnd"/>
            <w:r>
              <w:rPr>
                <w:rFonts w:eastAsia="Times New Roman"/>
              </w:rPr>
              <w:br/>
              <w:t>автоматический прием входящих телефонных вызовов в течение не менее 20 минут после завершения экстренного вызова;</w:t>
            </w:r>
            <w:r>
              <w:rPr>
                <w:rFonts w:eastAsia="Times New Roman"/>
              </w:rPr>
              <w:br/>
              <w:t>подключение к бортовой электрической сети транс</w:t>
            </w:r>
            <w:r>
              <w:rPr>
                <w:rFonts w:eastAsia="Times New Roman"/>
              </w:rPr>
              <w:t xml:space="preserve">портного средства, обеспечивающее работу устройства во всех предусмотренных режимах, а также зарядку резервной батареи питания (при наличии); </w:t>
            </w:r>
            <w:r>
              <w:rPr>
                <w:rFonts w:eastAsia="Times New Roman"/>
              </w:rPr>
              <w:br/>
              <w:t>при отсутствии питания от бортовой электрической сети – возможность автономной работы за счет использования резер</w:t>
            </w:r>
            <w:r>
              <w:rPr>
                <w:rFonts w:eastAsia="Times New Roman"/>
              </w:rPr>
              <w:t xml:space="preserve">вной батареи в течение не менее 60 минут в режиме ожидания обратного звонка и в дальнейшем не менее 10 минут работы в режиме голосовой связи. </w:t>
            </w:r>
            <w:proofErr w:type="gramStart"/>
            <w:r>
              <w:rPr>
                <w:rFonts w:eastAsia="Times New Roman"/>
              </w:rPr>
              <w:t>Срок службы резервной батареи составляет не менее 3 лет;</w:t>
            </w:r>
            <w:r>
              <w:rPr>
                <w:rFonts w:eastAsia="Times New Roman"/>
              </w:rPr>
              <w:br/>
              <w:t>возможность проверки своей работоспособности в автоматиче</w:t>
            </w:r>
            <w:r>
              <w:rPr>
                <w:rFonts w:eastAsia="Times New Roman"/>
              </w:rPr>
              <w:t>ском и в ручном режимах и информирование о своей неисправности посредством оптического индикатора состояния устройства или соответствующего сообщения на комбинации приборов;</w:t>
            </w:r>
            <w:r>
              <w:rPr>
                <w:rFonts w:eastAsia="Times New Roman"/>
              </w:rPr>
              <w:br/>
              <w:t>возможность передачи результатов тестирования устройства посредством использования</w:t>
            </w:r>
            <w:r>
              <w:rPr>
                <w:rFonts w:eastAsia="Times New Roman"/>
              </w:rPr>
              <w:t xml:space="preserve"> сетей подвижной радиотелефонной связи стандартов </w:t>
            </w:r>
            <w:r>
              <w:rPr>
                <w:rFonts w:eastAsia="Times New Roman"/>
              </w:rPr>
              <w:br/>
              <w:t>GSM 900 и GSM 1800, UMTS 900 и UMTS 2000;</w:t>
            </w:r>
            <w:proofErr w:type="gramEnd"/>
            <w:r>
              <w:rPr>
                <w:rFonts w:eastAsia="Times New Roman"/>
              </w:rPr>
              <w:br/>
            </w:r>
            <w:proofErr w:type="gramStart"/>
            <w:r>
              <w:rPr>
                <w:rFonts w:eastAsia="Times New Roman"/>
              </w:rPr>
              <w:t>возможность обновления информации, хранящейся на неснимаемой персональной универсальной многопрофильной идентификационной карте абонента, по сетям подвижной радиот</w:t>
            </w:r>
            <w:r>
              <w:rPr>
                <w:rFonts w:eastAsia="Times New Roman"/>
              </w:rPr>
              <w:t xml:space="preserve">елефонной связи стандартов GSM 900 и GSM 1800, а также </w:t>
            </w:r>
            <w:r>
              <w:rPr>
                <w:rFonts w:eastAsia="Times New Roman"/>
              </w:rPr>
              <w:br/>
              <w:t>UMTS 900 и UMTS 2000;</w:t>
            </w:r>
            <w:r>
              <w:rPr>
                <w:rFonts w:eastAsia="Times New Roman"/>
              </w:rPr>
              <w:br/>
              <w:t>возможность работы с внешними дополнительными устройствами (включая устройства, предназначенные для определения события дорожно-транспортного происшествия), подключаемыми посредс</w:t>
            </w:r>
            <w:r>
              <w:rPr>
                <w:rFonts w:eastAsia="Times New Roman"/>
              </w:rPr>
              <w:t>твом стандартизованного разъема и стандартизованного протокола передачи данных.</w:t>
            </w:r>
            <w:proofErr w:type="gramEnd"/>
            <w:r>
              <w:rPr>
                <w:rFonts w:eastAsia="Times New Roman"/>
              </w:rPr>
              <w:t xml:space="preserve"> Физический интерфейс передачи данных обеспечивает скорость передачи данных не менее 62,5 кБит/c.</w:t>
            </w:r>
            <w:r>
              <w:rPr>
                <w:rFonts w:eastAsia="Times New Roman"/>
              </w:rPr>
              <w:br/>
              <w:t>Установка антенн устройства обеспечивает в рабочем положении транспортного сред</w:t>
            </w:r>
            <w:r>
              <w:rPr>
                <w:rFonts w:eastAsia="Times New Roman"/>
              </w:rPr>
              <w:t>ства устойчивый прием сигналов не менее двух действующих глобальных навигационных спутниковых систем и в любом положении транспортного средства устойчивую связь по сетям подвижной радиотелефонной связи, обеспечивающим прием и передачу сигналов стандартов G</w:t>
            </w:r>
            <w:r>
              <w:rPr>
                <w:rFonts w:eastAsia="Times New Roman"/>
              </w:rPr>
              <w:t xml:space="preserve">SM 900, </w:t>
            </w:r>
            <w:r>
              <w:rPr>
                <w:rFonts w:eastAsia="Times New Roman"/>
              </w:rPr>
              <w:br/>
              <w:t xml:space="preserve">GSM 1800, а также UMTS 900 и UMTS 2000. ». 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040F9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</w:tr>
    </w:tbl>
    <w:p w:rsidR="00000000" w:rsidRDefault="00040F95">
      <w:pPr>
        <w:pStyle w:val="a5"/>
        <w:jc w:val="both"/>
        <w:divId w:val="1614627372"/>
      </w:pPr>
      <w:r>
        <w:t> </w:t>
      </w:r>
    </w:p>
    <w:p w:rsidR="00000000" w:rsidRDefault="00040F95">
      <w:pPr>
        <w:pStyle w:val="a5"/>
        <w:jc w:val="both"/>
        <w:divId w:val="1614627372"/>
      </w:pPr>
      <w:r>
        <w:t xml:space="preserve">10. В приложении N 14 к указанному техническому регламенту </w:t>
      </w:r>
    </w:p>
    <w:p w:rsidR="00000000" w:rsidRDefault="00040F95">
      <w:pPr>
        <w:pStyle w:val="a5"/>
        <w:jc w:val="both"/>
        <w:divId w:val="1614627372"/>
      </w:pPr>
      <w:r>
        <w:t>(приложение N1 к одобрению типа транспортного средства) в таблице позицию «Оборудование транспортного средства» в правой колонке после с</w:t>
      </w:r>
      <w:r>
        <w:t>лова «антенна» дополнить словами «, устройство (система) вызова экстренных оперативных служб».</w:t>
      </w:r>
    </w:p>
    <w:p w:rsidR="00000000" w:rsidRDefault="00040F95">
      <w:pPr>
        <w:pStyle w:val="a5"/>
        <w:jc w:val="both"/>
        <w:divId w:val="1614627372"/>
      </w:pPr>
      <w:r>
        <w:t xml:space="preserve">11. В приложении N 15 к указанному техническому регламенту </w:t>
      </w:r>
    </w:p>
    <w:p w:rsidR="00000000" w:rsidRDefault="00040F95">
      <w:pPr>
        <w:pStyle w:val="a5"/>
        <w:jc w:val="both"/>
        <w:divId w:val="1614627372"/>
      </w:pPr>
      <w:r>
        <w:t>(приложение N 1 к одобрению типа шасси) в таблице позицию «Оборудование шасси» в правой колонке после</w:t>
      </w:r>
      <w:r>
        <w:t xml:space="preserve"> слова «антенна» дополнить словами «, устройство (система) вызова экстренных оперативных служб».</w:t>
      </w:r>
    </w:p>
    <w:p w:rsidR="00040F95" w:rsidRDefault="00040F95">
      <w:pPr>
        <w:pStyle w:val="a5"/>
        <w:jc w:val="both"/>
        <w:divId w:val="1614627372"/>
      </w:pPr>
      <w:r>
        <w:t> </w:t>
      </w:r>
    </w:p>
    <w:sectPr w:rsidR="00040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B4491D"/>
    <w:rsid w:val="00040F95"/>
    <w:rsid w:val="00B44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pPr>
      <w:shd w:val="clear" w:color="auto" w:fill="FFFFFF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Lucida Console" w:hAnsi="Lucida Console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 w:cs="Consolas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</w:pPr>
  </w:style>
  <w:style w:type="paragraph" w:customStyle="1" w:styleId="urobrhead">
    <w:name w:val="urobr_head"/>
    <w:basedOn w:val="a"/>
    <w:pPr>
      <w:pBdr>
        <w:top w:val="single" w:sz="6" w:space="0" w:color="0000FF"/>
        <w:left w:val="single" w:sz="48" w:space="0" w:color="0000FF"/>
        <w:bottom w:val="single" w:sz="6" w:space="0" w:color="0000FF"/>
        <w:right w:val="single" w:sz="6" w:space="0" w:color="0000FF"/>
      </w:pBdr>
      <w:shd w:val="clear" w:color="auto" w:fill="EEEEFF"/>
      <w:spacing w:before="100" w:beforeAutospacing="1" w:after="100" w:afterAutospacing="1"/>
      <w:ind w:firstLine="480"/>
    </w:pPr>
    <w:rPr>
      <w:sz w:val="20"/>
      <w:szCs w:val="20"/>
    </w:rPr>
  </w:style>
  <w:style w:type="paragraph" w:customStyle="1" w:styleId="urobrheadold">
    <w:name w:val="urobr_head_old"/>
    <w:basedOn w:val="a"/>
    <w:pPr>
      <w:pBdr>
        <w:top w:val="single" w:sz="6" w:space="0" w:color="AAAAAA"/>
        <w:left w:val="single" w:sz="48" w:space="0" w:color="AAAAAA"/>
        <w:bottom w:val="single" w:sz="6" w:space="0" w:color="AAAAAA"/>
        <w:right w:val="single" w:sz="6" w:space="0" w:color="AAAAAA"/>
      </w:pBdr>
      <w:shd w:val="clear" w:color="auto" w:fill="EEEEEE"/>
      <w:spacing w:before="100" w:beforeAutospacing="1" w:after="100" w:afterAutospacing="1"/>
      <w:ind w:firstLine="480"/>
    </w:pPr>
    <w:rPr>
      <w:sz w:val="20"/>
      <w:szCs w:val="20"/>
    </w:rPr>
  </w:style>
  <w:style w:type="paragraph" w:customStyle="1" w:styleId="urobrbody">
    <w:name w:val="urobr_body"/>
    <w:basedOn w:val="a"/>
    <w:pPr>
      <w:pBdr>
        <w:top w:val="single" w:sz="2" w:space="4" w:color="0000FF"/>
        <w:left w:val="single" w:sz="12" w:space="4" w:color="0000FF"/>
        <w:bottom w:val="single" w:sz="6" w:space="4" w:color="0000FF"/>
        <w:right w:val="single" w:sz="6" w:space="4" w:color="0000FF"/>
      </w:pBdr>
      <w:spacing w:before="100" w:beforeAutospacing="1" w:after="100" w:afterAutospacing="1"/>
      <w:ind w:firstLine="480"/>
    </w:pPr>
  </w:style>
  <w:style w:type="paragraph" w:customStyle="1" w:styleId="urobrbodyold">
    <w:name w:val="urobr_body_old"/>
    <w:basedOn w:val="a"/>
    <w:pPr>
      <w:pBdr>
        <w:top w:val="single" w:sz="2" w:space="4" w:color="808080"/>
        <w:left w:val="single" w:sz="12" w:space="4" w:color="808080"/>
        <w:bottom w:val="single" w:sz="6" w:space="4" w:color="808080"/>
        <w:right w:val="single" w:sz="6" w:space="4" w:color="808080"/>
      </w:pBdr>
      <w:spacing w:before="100" w:beforeAutospacing="1" w:after="100" w:afterAutospacing="1"/>
      <w:ind w:firstLine="480"/>
    </w:pPr>
  </w:style>
  <w:style w:type="paragraph" w:customStyle="1" w:styleId="collapsedblock">
    <w:name w:val="collapsed_block"/>
    <w:basedOn w:val="a"/>
    <w:pPr>
      <w:spacing w:before="100" w:beforeAutospacing="1" w:after="100" w:afterAutospacing="1"/>
      <w:ind w:firstLine="480"/>
    </w:pPr>
  </w:style>
  <w:style w:type="paragraph" w:customStyle="1" w:styleId="highlight">
    <w:name w:val="highlight"/>
    <w:basedOn w:val="a"/>
    <w:pPr>
      <w:shd w:val="clear" w:color="auto" w:fill="FFFF55"/>
      <w:spacing w:before="100" w:beforeAutospacing="1" w:after="100" w:afterAutospacing="1"/>
      <w:ind w:firstLine="480"/>
    </w:pPr>
  </w:style>
  <w:style w:type="paragraph" w:customStyle="1" w:styleId="highlightsoft">
    <w:name w:val="highlightsoft"/>
    <w:basedOn w:val="a"/>
    <w:pPr>
      <w:shd w:val="clear" w:color="auto" w:fill="FFCCFF"/>
      <w:spacing w:before="100" w:beforeAutospacing="1" w:after="100" w:afterAutospacing="1"/>
      <w:ind w:firstLine="480"/>
    </w:pPr>
  </w:style>
  <w:style w:type="paragraph" w:customStyle="1" w:styleId="right">
    <w:name w:val="right"/>
    <w:basedOn w:val="a"/>
    <w:pPr>
      <w:spacing w:before="100" w:beforeAutospacing="1" w:after="300"/>
      <w:ind w:firstLine="480"/>
      <w:jc w:val="right"/>
    </w:pPr>
  </w:style>
  <w:style w:type="paragraph" w:customStyle="1" w:styleId="center">
    <w:name w:val="center"/>
    <w:basedOn w:val="a"/>
    <w:pPr>
      <w:spacing w:before="100" w:beforeAutospacing="1" w:after="100" w:afterAutospacing="1"/>
      <w:ind w:firstLine="480"/>
      <w:jc w:val="center"/>
    </w:pPr>
  </w:style>
  <w:style w:type="paragraph" w:customStyle="1" w:styleId="ordw-center">
    <w:name w:val="ordw-center"/>
    <w:basedOn w:val="a"/>
    <w:pPr>
      <w:ind w:firstLine="480"/>
      <w:jc w:val="center"/>
    </w:pPr>
  </w:style>
  <w:style w:type="paragraph" w:customStyle="1" w:styleId="scrolltable">
    <w:name w:val="scroll_table"/>
    <w:basedOn w:val="a"/>
    <w:pPr>
      <w:spacing w:before="100" w:beforeAutospacing="1" w:after="100" w:afterAutospacing="1"/>
      <w:ind w:firstLine="480"/>
    </w:pPr>
  </w:style>
  <w:style w:type="paragraph" w:customStyle="1" w:styleId="scrollpre">
    <w:name w:val="scroll_pre"/>
    <w:basedOn w:val="a"/>
    <w:pPr>
      <w:spacing w:before="100" w:beforeAutospacing="1" w:after="100" w:afterAutospacing="1"/>
      <w:ind w:firstLine="480"/>
    </w:pPr>
  </w:style>
  <w:style w:type="paragraph" w:customStyle="1" w:styleId="ordw-header">
    <w:name w:val="ordw-header"/>
    <w:basedOn w:val="a"/>
    <w:pPr>
      <w:spacing w:before="100" w:beforeAutospacing="1" w:after="100" w:afterAutospacing="1"/>
      <w:ind w:firstLine="480"/>
      <w:jc w:val="center"/>
    </w:pPr>
    <w:rPr>
      <w:b/>
      <w:bCs/>
    </w:rPr>
  </w:style>
  <w:style w:type="paragraph" w:customStyle="1" w:styleId="ordw-justify">
    <w:name w:val="ordw-justify"/>
    <w:basedOn w:val="a"/>
    <w:pPr>
      <w:ind w:firstLine="480"/>
      <w:jc w:val="both"/>
    </w:pPr>
  </w:style>
  <w:style w:type="paragraph" w:customStyle="1" w:styleId="ordw-right">
    <w:name w:val="ordw-right"/>
    <w:basedOn w:val="a"/>
    <w:pPr>
      <w:ind w:firstLine="480"/>
      <w:jc w:val="right"/>
    </w:pPr>
  </w:style>
  <w:style w:type="paragraph" w:customStyle="1" w:styleId="ordw-img">
    <w:name w:val="ordw-img"/>
    <w:basedOn w:val="a"/>
    <w:pPr>
      <w:spacing w:before="100" w:beforeAutospacing="1" w:after="100" w:afterAutospacing="1"/>
      <w:ind w:firstLine="480"/>
      <w:textAlignment w:val="center"/>
    </w:pPr>
  </w:style>
  <w:style w:type="paragraph" w:customStyle="1" w:styleId="ordw-table-0">
    <w:name w:val="ordw-table-0"/>
    <w:basedOn w:val="a"/>
    <w:pPr>
      <w:spacing w:before="100" w:beforeAutospacing="1" w:after="100" w:afterAutospacing="1"/>
      <w:ind w:firstLine="480"/>
    </w:pPr>
  </w:style>
  <w:style w:type="paragraph" w:customStyle="1" w:styleId="ordw-table-1">
    <w:name w:val="ordw-table-1"/>
    <w:basedOn w:val="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  <w:ind w:firstLine="480"/>
    </w:pPr>
  </w:style>
  <w:style w:type="paragraph" w:customStyle="1" w:styleId="ordw-table-2">
    <w:name w:val="ordw-table-2"/>
    <w:basedOn w:val="a"/>
    <w:pPr>
      <w:spacing w:before="100" w:beforeAutospacing="1" w:after="100" w:afterAutospacing="1"/>
      <w:ind w:firstLine="480"/>
    </w:pPr>
  </w:style>
  <w:style w:type="paragraph" w:customStyle="1" w:styleId="ordw-table-3">
    <w:name w:val="ordw-table-3"/>
    <w:basedOn w:val="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  <w:ind w:firstLine="480"/>
    </w:pPr>
  </w:style>
  <w:style w:type="paragraph" w:customStyle="1" w:styleId="ordw-urobr">
    <w:name w:val="ordw-urobr"/>
    <w:basedOn w:val="a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DDDDDD"/>
      <w:spacing w:before="150" w:after="100" w:afterAutospacing="1"/>
      <w:ind w:firstLine="480"/>
    </w:pPr>
  </w:style>
  <w:style w:type="paragraph" w:customStyle="1" w:styleId="old">
    <w:name w:val="old"/>
    <w:basedOn w:val="a"/>
    <w:pPr>
      <w:spacing w:before="100" w:beforeAutospacing="1" w:after="100" w:afterAutospacing="1"/>
      <w:ind w:firstLine="480"/>
    </w:pPr>
  </w:style>
  <w:style w:type="paragraph" w:customStyle="1" w:styleId="new">
    <w:name w:val="new"/>
    <w:basedOn w:val="a"/>
    <w:pPr>
      <w:spacing w:before="100" w:beforeAutospacing="1" w:after="100" w:afterAutospacing="1"/>
      <w:ind w:firstLine="480"/>
    </w:pPr>
  </w:style>
  <w:style w:type="paragraph" w:customStyle="1" w:styleId="content">
    <w:name w:val="content"/>
    <w:basedOn w:val="a"/>
    <w:pPr>
      <w:spacing w:before="100" w:beforeAutospacing="1" w:after="100" w:afterAutospacing="1"/>
      <w:ind w:firstLine="480"/>
    </w:pPr>
  </w:style>
  <w:style w:type="paragraph" w:customStyle="1" w:styleId="old1">
    <w:name w:val="old1"/>
    <w:basedOn w:val="a"/>
    <w:pPr>
      <w:spacing w:before="100" w:beforeAutospacing="1" w:after="100" w:afterAutospacing="1"/>
      <w:ind w:firstLine="240"/>
    </w:pPr>
    <w:rPr>
      <w:color w:val="CC0000"/>
    </w:rPr>
  </w:style>
  <w:style w:type="paragraph" w:customStyle="1" w:styleId="new1">
    <w:name w:val="new1"/>
    <w:basedOn w:val="a"/>
    <w:pPr>
      <w:spacing w:before="100" w:beforeAutospacing="1" w:after="100" w:afterAutospacing="1"/>
      <w:ind w:firstLine="240"/>
    </w:pPr>
    <w:rPr>
      <w:color w:val="00AA00"/>
    </w:rPr>
  </w:style>
  <w:style w:type="paragraph" w:customStyle="1" w:styleId="content1">
    <w:name w:val="content1"/>
    <w:basedOn w:val="a"/>
    <w:pPr>
      <w:spacing w:before="100" w:beforeAutospacing="1" w:after="100" w:afterAutospacing="1"/>
      <w:ind w:firstLine="480"/>
    </w:pPr>
  </w:style>
  <w:style w:type="paragraph" w:styleId="a6">
    <w:name w:val="Balloon Text"/>
    <w:basedOn w:val="a"/>
    <w:link w:val="a7"/>
    <w:uiPriority w:val="99"/>
    <w:semiHidden/>
    <w:unhideWhenUsed/>
    <w:rsid w:val="00B4491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491D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pPr>
      <w:shd w:val="clear" w:color="auto" w:fill="FFFFFF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Lucida Console" w:hAnsi="Lucida Console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 w:cs="Consolas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</w:pPr>
  </w:style>
  <w:style w:type="paragraph" w:customStyle="1" w:styleId="urobrhead">
    <w:name w:val="urobr_head"/>
    <w:basedOn w:val="a"/>
    <w:pPr>
      <w:pBdr>
        <w:top w:val="single" w:sz="6" w:space="0" w:color="0000FF"/>
        <w:left w:val="single" w:sz="48" w:space="0" w:color="0000FF"/>
        <w:bottom w:val="single" w:sz="6" w:space="0" w:color="0000FF"/>
        <w:right w:val="single" w:sz="6" w:space="0" w:color="0000FF"/>
      </w:pBdr>
      <w:shd w:val="clear" w:color="auto" w:fill="EEEEFF"/>
      <w:spacing w:before="100" w:beforeAutospacing="1" w:after="100" w:afterAutospacing="1"/>
      <w:ind w:firstLine="480"/>
    </w:pPr>
    <w:rPr>
      <w:sz w:val="20"/>
      <w:szCs w:val="20"/>
    </w:rPr>
  </w:style>
  <w:style w:type="paragraph" w:customStyle="1" w:styleId="urobrheadold">
    <w:name w:val="urobr_head_old"/>
    <w:basedOn w:val="a"/>
    <w:pPr>
      <w:pBdr>
        <w:top w:val="single" w:sz="6" w:space="0" w:color="AAAAAA"/>
        <w:left w:val="single" w:sz="48" w:space="0" w:color="AAAAAA"/>
        <w:bottom w:val="single" w:sz="6" w:space="0" w:color="AAAAAA"/>
        <w:right w:val="single" w:sz="6" w:space="0" w:color="AAAAAA"/>
      </w:pBdr>
      <w:shd w:val="clear" w:color="auto" w:fill="EEEEEE"/>
      <w:spacing w:before="100" w:beforeAutospacing="1" w:after="100" w:afterAutospacing="1"/>
      <w:ind w:firstLine="480"/>
    </w:pPr>
    <w:rPr>
      <w:sz w:val="20"/>
      <w:szCs w:val="20"/>
    </w:rPr>
  </w:style>
  <w:style w:type="paragraph" w:customStyle="1" w:styleId="urobrbody">
    <w:name w:val="urobr_body"/>
    <w:basedOn w:val="a"/>
    <w:pPr>
      <w:pBdr>
        <w:top w:val="single" w:sz="2" w:space="4" w:color="0000FF"/>
        <w:left w:val="single" w:sz="12" w:space="4" w:color="0000FF"/>
        <w:bottom w:val="single" w:sz="6" w:space="4" w:color="0000FF"/>
        <w:right w:val="single" w:sz="6" w:space="4" w:color="0000FF"/>
      </w:pBdr>
      <w:spacing w:before="100" w:beforeAutospacing="1" w:after="100" w:afterAutospacing="1"/>
      <w:ind w:firstLine="480"/>
    </w:pPr>
  </w:style>
  <w:style w:type="paragraph" w:customStyle="1" w:styleId="urobrbodyold">
    <w:name w:val="urobr_body_old"/>
    <w:basedOn w:val="a"/>
    <w:pPr>
      <w:pBdr>
        <w:top w:val="single" w:sz="2" w:space="4" w:color="808080"/>
        <w:left w:val="single" w:sz="12" w:space="4" w:color="808080"/>
        <w:bottom w:val="single" w:sz="6" w:space="4" w:color="808080"/>
        <w:right w:val="single" w:sz="6" w:space="4" w:color="808080"/>
      </w:pBdr>
      <w:spacing w:before="100" w:beforeAutospacing="1" w:after="100" w:afterAutospacing="1"/>
      <w:ind w:firstLine="480"/>
    </w:pPr>
  </w:style>
  <w:style w:type="paragraph" w:customStyle="1" w:styleId="collapsedblock">
    <w:name w:val="collapsed_block"/>
    <w:basedOn w:val="a"/>
    <w:pPr>
      <w:spacing w:before="100" w:beforeAutospacing="1" w:after="100" w:afterAutospacing="1"/>
      <w:ind w:firstLine="480"/>
    </w:pPr>
  </w:style>
  <w:style w:type="paragraph" w:customStyle="1" w:styleId="highlight">
    <w:name w:val="highlight"/>
    <w:basedOn w:val="a"/>
    <w:pPr>
      <w:shd w:val="clear" w:color="auto" w:fill="FFFF55"/>
      <w:spacing w:before="100" w:beforeAutospacing="1" w:after="100" w:afterAutospacing="1"/>
      <w:ind w:firstLine="480"/>
    </w:pPr>
  </w:style>
  <w:style w:type="paragraph" w:customStyle="1" w:styleId="highlightsoft">
    <w:name w:val="highlightsoft"/>
    <w:basedOn w:val="a"/>
    <w:pPr>
      <w:shd w:val="clear" w:color="auto" w:fill="FFCCFF"/>
      <w:spacing w:before="100" w:beforeAutospacing="1" w:after="100" w:afterAutospacing="1"/>
      <w:ind w:firstLine="480"/>
    </w:pPr>
  </w:style>
  <w:style w:type="paragraph" w:customStyle="1" w:styleId="right">
    <w:name w:val="right"/>
    <w:basedOn w:val="a"/>
    <w:pPr>
      <w:spacing w:before="100" w:beforeAutospacing="1" w:after="300"/>
      <w:ind w:firstLine="480"/>
      <w:jc w:val="right"/>
    </w:pPr>
  </w:style>
  <w:style w:type="paragraph" w:customStyle="1" w:styleId="center">
    <w:name w:val="center"/>
    <w:basedOn w:val="a"/>
    <w:pPr>
      <w:spacing w:before="100" w:beforeAutospacing="1" w:after="100" w:afterAutospacing="1"/>
      <w:ind w:firstLine="480"/>
      <w:jc w:val="center"/>
    </w:pPr>
  </w:style>
  <w:style w:type="paragraph" w:customStyle="1" w:styleId="ordw-center">
    <w:name w:val="ordw-center"/>
    <w:basedOn w:val="a"/>
    <w:pPr>
      <w:ind w:firstLine="480"/>
      <w:jc w:val="center"/>
    </w:pPr>
  </w:style>
  <w:style w:type="paragraph" w:customStyle="1" w:styleId="scrolltable">
    <w:name w:val="scroll_table"/>
    <w:basedOn w:val="a"/>
    <w:pPr>
      <w:spacing w:before="100" w:beforeAutospacing="1" w:after="100" w:afterAutospacing="1"/>
      <w:ind w:firstLine="480"/>
    </w:pPr>
  </w:style>
  <w:style w:type="paragraph" w:customStyle="1" w:styleId="scrollpre">
    <w:name w:val="scroll_pre"/>
    <w:basedOn w:val="a"/>
    <w:pPr>
      <w:spacing w:before="100" w:beforeAutospacing="1" w:after="100" w:afterAutospacing="1"/>
      <w:ind w:firstLine="480"/>
    </w:pPr>
  </w:style>
  <w:style w:type="paragraph" w:customStyle="1" w:styleId="ordw-header">
    <w:name w:val="ordw-header"/>
    <w:basedOn w:val="a"/>
    <w:pPr>
      <w:spacing w:before="100" w:beforeAutospacing="1" w:after="100" w:afterAutospacing="1"/>
      <w:ind w:firstLine="480"/>
      <w:jc w:val="center"/>
    </w:pPr>
    <w:rPr>
      <w:b/>
      <w:bCs/>
    </w:rPr>
  </w:style>
  <w:style w:type="paragraph" w:customStyle="1" w:styleId="ordw-justify">
    <w:name w:val="ordw-justify"/>
    <w:basedOn w:val="a"/>
    <w:pPr>
      <w:ind w:firstLine="480"/>
      <w:jc w:val="both"/>
    </w:pPr>
  </w:style>
  <w:style w:type="paragraph" w:customStyle="1" w:styleId="ordw-right">
    <w:name w:val="ordw-right"/>
    <w:basedOn w:val="a"/>
    <w:pPr>
      <w:ind w:firstLine="480"/>
      <w:jc w:val="right"/>
    </w:pPr>
  </w:style>
  <w:style w:type="paragraph" w:customStyle="1" w:styleId="ordw-img">
    <w:name w:val="ordw-img"/>
    <w:basedOn w:val="a"/>
    <w:pPr>
      <w:spacing w:before="100" w:beforeAutospacing="1" w:after="100" w:afterAutospacing="1"/>
      <w:ind w:firstLine="480"/>
      <w:textAlignment w:val="center"/>
    </w:pPr>
  </w:style>
  <w:style w:type="paragraph" w:customStyle="1" w:styleId="ordw-table-0">
    <w:name w:val="ordw-table-0"/>
    <w:basedOn w:val="a"/>
    <w:pPr>
      <w:spacing w:before="100" w:beforeAutospacing="1" w:after="100" w:afterAutospacing="1"/>
      <w:ind w:firstLine="480"/>
    </w:pPr>
  </w:style>
  <w:style w:type="paragraph" w:customStyle="1" w:styleId="ordw-table-1">
    <w:name w:val="ordw-table-1"/>
    <w:basedOn w:val="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  <w:ind w:firstLine="480"/>
    </w:pPr>
  </w:style>
  <w:style w:type="paragraph" w:customStyle="1" w:styleId="ordw-table-2">
    <w:name w:val="ordw-table-2"/>
    <w:basedOn w:val="a"/>
    <w:pPr>
      <w:spacing w:before="100" w:beforeAutospacing="1" w:after="100" w:afterAutospacing="1"/>
      <w:ind w:firstLine="480"/>
    </w:pPr>
  </w:style>
  <w:style w:type="paragraph" w:customStyle="1" w:styleId="ordw-table-3">
    <w:name w:val="ordw-table-3"/>
    <w:basedOn w:val="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  <w:ind w:firstLine="480"/>
    </w:pPr>
  </w:style>
  <w:style w:type="paragraph" w:customStyle="1" w:styleId="ordw-urobr">
    <w:name w:val="ordw-urobr"/>
    <w:basedOn w:val="a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DDDDDD"/>
      <w:spacing w:before="150" w:after="100" w:afterAutospacing="1"/>
      <w:ind w:firstLine="480"/>
    </w:pPr>
  </w:style>
  <w:style w:type="paragraph" w:customStyle="1" w:styleId="old">
    <w:name w:val="old"/>
    <w:basedOn w:val="a"/>
    <w:pPr>
      <w:spacing w:before="100" w:beforeAutospacing="1" w:after="100" w:afterAutospacing="1"/>
      <w:ind w:firstLine="480"/>
    </w:pPr>
  </w:style>
  <w:style w:type="paragraph" w:customStyle="1" w:styleId="new">
    <w:name w:val="new"/>
    <w:basedOn w:val="a"/>
    <w:pPr>
      <w:spacing w:before="100" w:beforeAutospacing="1" w:after="100" w:afterAutospacing="1"/>
      <w:ind w:firstLine="480"/>
    </w:pPr>
  </w:style>
  <w:style w:type="paragraph" w:customStyle="1" w:styleId="content">
    <w:name w:val="content"/>
    <w:basedOn w:val="a"/>
    <w:pPr>
      <w:spacing w:before="100" w:beforeAutospacing="1" w:after="100" w:afterAutospacing="1"/>
      <w:ind w:firstLine="480"/>
    </w:pPr>
  </w:style>
  <w:style w:type="paragraph" w:customStyle="1" w:styleId="old1">
    <w:name w:val="old1"/>
    <w:basedOn w:val="a"/>
    <w:pPr>
      <w:spacing w:before="100" w:beforeAutospacing="1" w:after="100" w:afterAutospacing="1"/>
      <w:ind w:firstLine="240"/>
    </w:pPr>
    <w:rPr>
      <w:color w:val="CC0000"/>
    </w:rPr>
  </w:style>
  <w:style w:type="paragraph" w:customStyle="1" w:styleId="new1">
    <w:name w:val="new1"/>
    <w:basedOn w:val="a"/>
    <w:pPr>
      <w:spacing w:before="100" w:beforeAutospacing="1" w:after="100" w:afterAutospacing="1"/>
      <w:ind w:firstLine="240"/>
    </w:pPr>
    <w:rPr>
      <w:color w:val="00AA00"/>
    </w:rPr>
  </w:style>
  <w:style w:type="paragraph" w:customStyle="1" w:styleId="content1">
    <w:name w:val="content1"/>
    <w:basedOn w:val="a"/>
    <w:pPr>
      <w:spacing w:before="100" w:beforeAutospacing="1" w:after="100" w:afterAutospacing="1"/>
      <w:ind w:firstLine="480"/>
    </w:pPr>
  </w:style>
  <w:style w:type="paragraph" w:styleId="a6">
    <w:name w:val="Balloon Text"/>
    <w:basedOn w:val="a"/>
    <w:link w:val="a7"/>
    <w:uiPriority w:val="99"/>
    <w:semiHidden/>
    <w:unhideWhenUsed/>
    <w:rsid w:val="00B4491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491D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627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2874</Words>
  <Characters>16388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Евразийской экономической комиссии от 30.01.2013 № 6 . Таможенные документы :: Альта-Софт</vt:lpstr>
    </vt:vector>
  </TitlesOfParts>
  <LinksUpToDate>false</LinksUpToDate>
  <CharactersWithSpaces>19224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2017-01-14T11:34:00Z</dcterms:created>
  <dcterms:modified xsi:type="dcterms:W3CDTF">2017-01-14T11:34:00Z</dcterms:modified>
</cp:coreProperties>
</file>