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9872DE" w:rsidRPr="009872DE" w:rsidRDefault="009872DE" w:rsidP="009872DE">
      <w:r w:rsidRPr="009872DE">
        <w:fldChar w:fldCharType="begin"/>
      </w:r>
      <w:r w:rsidRPr="009872DE">
        <w:instrText xml:space="preserve"> HYPERLINK "http://www.tsouz.ru/eek/RSEEK/RSEEK/2013/1z/Pages/R_6.aspx" </w:instrText>
      </w:r>
      <w:r w:rsidRPr="009872DE">
        <w:fldChar w:fldCharType="separate"/>
      </w:r>
      <w:r w:rsidRPr="009872DE">
        <w:rPr>
          <w:color w:val="0000FF" w:themeColor="hyperlink"/>
          <w:u w:val="single"/>
        </w:rPr>
        <w:t>http://www.tsouz.ru/eek/RSEEK/RSEEK/2013/1z/Pages/R_6.aspx</w:t>
      </w:r>
      <w:r w:rsidRPr="009872DE">
        <w:rPr>
          <w:color w:val="0000FF" w:themeColor="hyperlink"/>
          <w:u w:val="single"/>
        </w:rPr>
        <w:fldChar w:fldCharType="end"/>
      </w:r>
    </w:p>
    <w:p w:rsidR="009872DE" w:rsidRPr="009872DE" w:rsidRDefault="009872DE" w:rsidP="009872DE"/>
    <w:p w:rsidR="009872DE" w:rsidRPr="009872DE" w:rsidRDefault="009872DE" w:rsidP="009872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ЕВРАЗИЙСКАЯ ЭКОНОМИЧЕСКАЯ КОМИССИЯ</w:t>
      </w:r>
    </w:p>
    <w:p w:rsidR="009872DE" w:rsidRPr="009872DE" w:rsidRDefault="009872DE" w:rsidP="009872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СОВЕТ</w:t>
      </w:r>
    </w:p>
    <w:p w:rsidR="009872DE" w:rsidRPr="009872DE" w:rsidRDefault="009872DE" w:rsidP="009872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 </w:t>
      </w:r>
      <w:r w:rsidRPr="009872DE">
        <w:rPr>
          <w:rFonts w:ascii="Arial" w:eastAsia="Times New Roman" w:hAnsi="Arial" w:cs="Arial"/>
          <w:b/>
          <w:bCs/>
          <w:snapToGrid w:val="0"/>
          <w:color w:val="000000"/>
          <w:spacing w:val="80"/>
          <w:sz w:val="24"/>
          <w:szCs w:val="24"/>
          <w:lang w:val="x-none" w:eastAsia="ru-RU"/>
        </w:rPr>
        <w:t>РЕШЕНИЕ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36"/>
        <w:gridCol w:w="1493"/>
        <w:gridCol w:w="4142"/>
      </w:tblGrid>
      <w:tr w:rsidR="009872DE" w:rsidRPr="009872DE" w:rsidTr="004E0B10">
        <w:trPr>
          <w:jc w:val="center"/>
        </w:trPr>
        <w:tc>
          <w:tcPr>
            <w:tcW w:w="393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30 января 2013 г.</w:t>
            </w:r>
          </w:p>
        </w:tc>
        <w:tc>
          <w:tcPr>
            <w:tcW w:w="149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240" w:lineRule="auto"/>
              <w:ind w:left="-108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№ 6</w:t>
            </w:r>
          </w:p>
        </w:tc>
        <w:tc>
          <w:tcPr>
            <w:tcW w:w="41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240" w:lineRule="auto"/>
              <w:ind w:right="-1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9872DE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                       Москва</w:t>
            </w:r>
          </w:p>
        </w:tc>
      </w:tr>
    </w:tbl>
    <w:p w:rsidR="009872DE" w:rsidRPr="009872DE" w:rsidRDefault="009872DE" w:rsidP="009872DE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9872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О внесении изменений в технический регламент Таможенного союза «О безопасности колесных транспортных средств» (ТР ТС 018/2011)</w:t>
      </w:r>
    </w:p>
    <w:p w:rsidR="009872DE" w:rsidRPr="009872DE" w:rsidRDefault="009872DE" w:rsidP="009872DE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872DE" w:rsidRPr="009872DE" w:rsidRDefault="009872DE" w:rsidP="009872DE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соответствии со статьей 3 Договора о Евразийской экономической комиссии от 18 ноября 2011 года Совет Евразийской экономической комиссии </w:t>
      </w:r>
      <w:r w:rsidRPr="009872DE">
        <w:rPr>
          <w:rFonts w:ascii="Arial" w:eastAsia="Times New Roman" w:hAnsi="Arial" w:cs="Arial"/>
          <w:b/>
          <w:bCs/>
          <w:color w:val="000000"/>
          <w:spacing w:val="40"/>
          <w:sz w:val="24"/>
          <w:szCs w:val="24"/>
          <w:lang w:eastAsia="ru-RU"/>
        </w:rPr>
        <w:t>решил</w:t>
      </w:r>
      <w:r w:rsidRPr="009872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</w:p>
    <w:p w:rsidR="009872DE" w:rsidRPr="009872DE" w:rsidRDefault="009872DE" w:rsidP="009872DE">
      <w:pPr>
        <w:shd w:val="clear" w:color="auto" w:fill="FFFFFF"/>
        <w:spacing w:before="100" w:beforeAutospacing="1" w:after="100" w:afterAutospacing="1" w:line="360" w:lineRule="auto"/>
        <w:ind w:firstLine="680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1. Внести в технический регламент Таможенного союза «О безопасности колесных транспортных средств» (ТР ТС 018/2011), утвержденный Решением Комиссии Таможенного союза от 9 декабря 2011 г. № 877, изменения согласно </w:t>
      </w:r>
      <w:hyperlink r:id="rId4" w:history="1">
        <w:r w:rsidRPr="009872DE">
          <w:rPr>
            <w:rFonts w:ascii="Arial" w:eastAsia="Times New Roman" w:hAnsi="Arial" w:cs="Arial"/>
            <w:b/>
            <w:bCs/>
            <w:color w:val="3966BF"/>
            <w:sz w:val="24"/>
            <w:szCs w:val="24"/>
            <w:lang w:eastAsia="ru-RU"/>
          </w:rPr>
          <w:t>приложению</w:t>
        </w:r>
      </w:hyperlink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9872DE" w:rsidRPr="009872DE" w:rsidRDefault="009872DE" w:rsidP="009872DE">
      <w:pPr>
        <w:spacing w:before="100" w:beforeAutospacing="1" w:after="100" w:afterAutospacing="1" w:line="360" w:lineRule="auto"/>
        <w:ind w:firstLine="709"/>
        <w:jc w:val="both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2. Настоящее Решение вступает в силу по истечении 30 календарных дней с даты его официального опубликования. </w:t>
      </w:r>
    </w:p>
    <w:p w:rsidR="009872DE" w:rsidRPr="009872DE" w:rsidRDefault="009872DE" w:rsidP="009872DE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9872DE" w:rsidRPr="009872DE" w:rsidRDefault="009872DE" w:rsidP="009872DE">
      <w:pPr>
        <w:spacing w:before="100" w:beforeAutospacing="1" w:after="100" w:afterAutospacing="1" w:line="288" w:lineRule="auto"/>
        <w:jc w:val="center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Члены Совета Евразийской экономической комиссии:</w:t>
      </w:r>
    </w:p>
    <w:p w:rsidR="009872DE" w:rsidRPr="009872DE" w:rsidRDefault="009872DE" w:rsidP="009872DE">
      <w:pPr>
        <w:spacing w:before="100" w:beforeAutospacing="1" w:after="100" w:afterAutospacing="1" w:line="288" w:lineRule="auto"/>
        <w:rPr>
          <w:rFonts w:ascii="Arial" w:eastAsia="Times New Roman" w:hAnsi="Arial" w:cs="Arial"/>
          <w:color w:val="666666"/>
          <w:sz w:val="24"/>
          <w:szCs w:val="24"/>
          <w:lang w:eastAsia="ru-RU"/>
        </w:rPr>
      </w:pPr>
      <w:r w:rsidRPr="009872DE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35"/>
        <w:gridCol w:w="3272"/>
        <w:gridCol w:w="3248"/>
      </w:tblGrid>
      <w:tr w:rsidR="009872DE" w:rsidRPr="009872DE" w:rsidTr="004E0B10">
        <w:trPr>
          <w:jc w:val="center"/>
        </w:trPr>
        <w:tc>
          <w:tcPr>
            <w:tcW w:w="32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От Республики</w:t>
            </w: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 Беларусь</w:t>
            </w:r>
          </w:p>
        </w:tc>
        <w:tc>
          <w:tcPr>
            <w:tcW w:w="32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От Республики</w:t>
            </w: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Казахстан</w:t>
            </w:r>
          </w:p>
        </w:tc>
        <w:tc>
          <w:tcPr>
            <w:tcW w:w="3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От Российской</w:t>
            </w: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Федерации</w:t>
            </w:r>
          </w:p>
        </w:tc>
      </w:tr>
      <w:tr w:rsidR="009872DE" w:rsidRPr="009872DE" w:rsidTr="004E0B10">
        <w:trPr>
          <w:trHeight w:val="645"/>
          <w:jc w:val="center"/>
        </w:trPr>
        <w:tc>
          <w:tcPr>
            <w:tcW w:w="323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312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872DE" w:rsidRPr="009872DE" w:rsidRDefault="009872DE" w:rsidP="009872DE">
            <w:pPr>
              <w:spacing w:before="100" w:beforeAutospacing="1" w:after="100" w:afterAutospacing="1" w:line="312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С. </w:t>
            </w:r>
            <w:proofErr w:type="spellStart"/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Румас</w:t>
            </w:r>
            <w:proofErr w:type="spellEnd"/>
          </w:p>
        </w:tc>
        <w:tc>
          <w:tcPr>
            <w:tcW w:w="327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312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872DE" w:rsidRPr="009872DE" w:rsidRDefault="009872DE" w:rsidP="009872DE">
            <w:pPr>
              <w:spacing w:before="100" w:beforeAutospacing="1" w:after="100" w:afterAutospacing="1" w:line="312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К. </w:t>
            </w:r>
            <w:proofErr w:type="spellStart"/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Келимбетов</w:t>
            </w:r>
            <w:proofErr w:type="spellEnd"/>
          </w:p>
        </w:tc>
        <w:tc>
          <w:tcPr>
            <w:tcW w:w="324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72DE" w:rsidRPr="009872DE" w:rsidRDefault="009872DE" w:rsidP="009872DE">
            <w:pPr>
              <w:spacing w:before="100" w:beforeAutospacing="1" w:after="100" w:afterAutospacing="1" w:line="312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9872DE" w:rsidRPr="009872DE" w:rsidRDefault="009872DE" w:rsidP="009872DE">
            <w:pPr>
              <w:spacing w:before="100" w:beforeAutospacing="1" w:after="100" w:afterAutospacing="1" w:line="312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9872D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И. Шувалов</w:t>
            </w:r>
          </w:p>
        </w:tc>
      </w:tr>
    </w:tbl>
    <w:p w:rsidR="009872DE" w:rsidRPr="009872DE" w:rsidRDefault="009872DE" w:rsidP="009872DE">
      <w:r w:rsidRPr="009872DE">
        <w:t xml:space="preserve"> </w:t>
      </w:r>
    </w:p>
    <w:p w:rsidR="009872DE" w:rsidRPr="009872DE" w:rsidRDefault="009872DE" w:rsidP="009872DE">
      <w:r w:rsidRPr="009872DE">
        <w:t xml:space="preserve">Приложение - </w:t>
      </w:r>
      <w:hyperlink r:id="rId5" w:history="1">
        <w:r w:rsidRPr="009872DE">
          <w:rPr>
            <w:color w:val="0000FF" w:themeColor="hyperlink"/>
            <w:u w:val="single"/>
          </w:rPr>
          <w:t>http://www.tsouz.ru/eek/RSEEK/RSEEK/2013/1z/Documents/P_6.pdf</w:t>
        </w:r>
      </w:hyperlink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lastRenderedPageBreak/>
        <w:t>Приложение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 xml:space="preserve">к </w:t>
      </w:r>
      <w:hyperlink w:anchor="sub_0" w:history="1">
        <w:r w:rsidRPr="009872DE">
          <w:rPr>
            <w:rFonts w:ascii="Arial" w:eastAsiaTheme="minorEastAsia" w:hAnsi="Arial" w:cs="Arial"/>
            <w:b/>
            <w:bCs/>
            <w:color w:val="106BBE"/>
            <w:sz w:val="26"/>
            <w:szCs w:val="26"/>
            <w:lang w:eastAsia="ru-RU"/>
          </w:rPr>
          <w:t>решению</w:t>
        </w:r>
      </w:hyperlink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 xml:space="preserve"> Совета Евразийской экономической комиссии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>от 30 января 2013 г. N 6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>Изменения, которые вносятся в технический регламент Таможенного союза "О безопасности колесных транспортных средств" (ТР ТС 018/2011)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1. В </w:t>
      </w:r>
      <w:hyperlink r:id="rId6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пункте 6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>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после </w:t>
      </w:r>
      <w:hyperlink r:id="rId7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абзаца четвертого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дополнить </w:t>
      </w:r>
      <w:hyperlink r:id="rId8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абзацем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>"аппаратура спутниковой навигации"</w:t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- аппаратно-программное устройство, устанавливаемое на транспортное средство для определения его текущего местоположения, направления и скорости движения по сигналам не менее двух действующих глобальных навигационных спутниковых систем, обмена данными с дополнительным бортовым оборудованием, а также для обмена информацией по сетям подвижной радиотелефонной связи;";</w:t>
      </w:r>
    </w:p>
    <w:p w:rsidR="009872DE" w:rsidRPr="009872DE" w:rsidRDefault="00AC38E4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hyperlink r:id="rId9" w:history="1">
        <w:r w:rsidR="009872DE"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 восемьдесят второй</w:t>
        </w:r>
      </w:hyperlink>
      <w:r w:rsidR="009872DE"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дополнить словами ", предназначенный для повышения пассивной безопасности транспортного средства путем фиксации положения водителя и пассажиров относительно кузова";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после </w:t>
      </w:r>
      <w:hyperlink r:id="rId10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абзаца сто второго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дополнить </w:t>
      </w:r>
      <w:hyperlink r:id="rId11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абзацем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>"система вызова экстренных оперативных служб"</w:t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- система, выполняющая функции устройства вызова экстренных оперативных служб, обеспечивающая передачу сообщения о транспортном средстве при дорожно-транспортном и ином происшествиях в автоматическом режиме;";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после </w:t>
      </w:r>
      <w:hyperlink r:id="rId12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абзаца сто сорок первого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дополнить </w:t>
      </w:r>
      <w:hyperlink r:id="rId13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абзацем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>"устройство вызова экстренных оперативных служб"</w:t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- устройство, осуществляющее и обеспечивающее определение координат, скорости и направления движения транспортного средства с помощью сигналов не менее двух действующих глобальных навигационных спутниковых систем, передачу сообщения о транспортном средстве при дорожно-транспортном и ином происшествиях в ручном режиме и двустороннюю голосовую связь с экстренным и оперативными службами по сетям подвижной радиотелефонной связи;".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2. </w:t>
      </w:r>
      <w:hyperlink r:id="rId14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 13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изложить в следующей редакции: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"13. Выпускаемые в обращение транспортные средства категории М, используемые для коммерческих перевозок пассажиров, а также специально предназначенные для перевозки детей, и категории N, используемые для перевозки твердых бытовых отходов и мусора (мусоровозы), специальных, опасных, тяжеловесных и (или) крупногабаритных грузов, а также транспортные средства оперативных служб подлежат оснащению аппаратурой спутниковой навигации. Конструкция указанных транспортных средств должна обеспечивать возможность оснащения их указанной аппаратурой.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Транспортные средства оперативных служб и транспортные средства категории N, используемые для перевозки твердых бытовых отходов и мусора (мусоровозы), оснащаются аппаратурой спутниковой навигации в порядке, установленном законодательством государств-членов Таможенного союза.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lastRenderedPageBreak/>
        <w:t>Оснащение указанной аппаратурой транспортных средств, находящихся в эксплуатации, осуществляется в порядке, установленном законодательством государств-членов Таможенного союза.".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3. Дополнить </w:t>
      </w:r>
      <w:hyperlink r:id="rId15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пунктом 13.1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"13.1. Выпускаемые в обращение транспортные средства </w:t>
      </w:r>
      <w:proofErr w:type="gramStart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4C3F0384" wp14:editId="2876C7EE">
            <wp:extent cx="243205" cy="233680"/>
            <wp:effectExtent l="0" t="0" r="444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,</w:t>
      </w:r>
      <w:proofErr w:type="gramEnd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входящие в область применения Правил ЕЭК ООН N 94 и 95, и 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6FE0BB4B" wp14:editId="1B7E112D">
            <wp:extent cx="213995" cy="23368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входящие в область применения Правил ЕЭК ООН N 95, оснащаются системой вызова экстренных оперативных служб, прочие выпускаемые в обращение транспортные средства категорий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4E65B899" wp14:editId="2F67A9D6">
            <wp:extent cx="243205" cy="233680"/>
            <wp:effectExtent l="0" t="0" r="444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36EB51EE" wp14:editId="7CB2F378">
            <wp:extent cx="213995" cy="23368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транспортные средства категорий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83344E4" wp14:editId="61E6DA3C">
            <wp:extent cx="243205" cy="233680"/>
            <wp:effectExtent l="0" t="0" r="444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04F0FED" wp14:editId="2422F906">
            <wp:extent cx="243205" cy="233680"/>
            <wp:effectExtent l="0" t="0" r="4445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6CB833D1" wp14:editId="71A8D48E">
            <wp:extent cx="213995" cy="23368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4EF40B2" wp14:editId="1991E946">
            <wp:extent cx="213995" cy="23368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оснащаются устройством вызова экстренных оперативных служб.".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4. </w:t>
      </w:r>
      <w:hyperlink r:id="rId24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Таблицу 4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приложения N 1 к указанному техническому регламенту дополнить </w:t>
      </w:r>
      <w:hyperlink r:id="rId25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позициями 117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hyperlink r:id="rId26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118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"117. Аппаратура спутниковой навигации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118. Устройство вызова экстренных оперативных служб".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5. В </w:t>
      </w:r>
      <w:hyperlink r:id="rId27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приложении N 2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к указанному техническому регламенту:</w:t>
      </w:r>
    </w:p>
    <w:p w:rsidR="009872DE" w:rsidRPr="009872DE" w:rsidRDefault="00AC38E4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hyperlink r:id="rId28" w:history="1">
        <w:r w:rsidR="009872DE"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таблицу</w:t>
        </w:r>
      </w:hyperlink>
      <w:r w:rsidR="009872DE"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дополнить </w:t>
      </w:r>
      <w:hyperlink r:id="rId29" w:history="1">
        <w:r w:rsidR="009872DE"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позициями 113</w:t>
        </w:r>
      </w:hyperlink>
      <w:r w:rsidR="009872DE"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hyperlink r:id="rId30" w:history="1">
        <w:r w:rsidR="009872DE"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114</w:t>
        </w:r>
      </w:hyperlink>
      <w:r w:rsidR="009872DE"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  <w:sectPr w:rsidR="009872DE" w:rsidRPr="009872DE">
          <w:pgSz w:w="11900" w:h="16800"/>
          <w:pgMar w:top="1440" w:right="800" w:bottom="1440" w:left="1100" w:header="720" w:footer="720" w:gutter="0"/>
          <w:cols w:space="720"/>
          <w:noEndnote/>
        </w:sect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lastRenderedPageBreak/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3920"/>
        <w:gridCol w:w="3360"/>
        <w:gridCol w:w="4060"/>
        <w:gridCol w:w="2940"/>
      </w:tblGrid>
      <w:tr w:rsidR="009872DE" w:rsidRPr="009872DE" w:rsidTr="004E0B1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113.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Оснащение устройством вызова экстренных оперативных служб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B1F9E93" wp14:editId="27133A5B">
                  <wp:extent cx="213995" cy="194310"/>
                  <wp:effectExtent l="0" t="0" r="0" b="0"/>
                  <wp:docPr id="87" name="Рисунок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, не входящие в область применения Правил ЕЭК ООН N 94 и 95; </w:t>
            </w: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27B27D71" wp14:editId="05831D5D">
                  <wp:extent cx="175260" cy="194310"/>
                  <wp:effectExtent l="0" t="0" r="0" b="0"/>
                  <wp:docPr id="88" name="Рисунок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, не входящие в область применения Правил ЕЭК ООН N 95,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20A2CF0" wp14:editId="2B6AB6D9">
                  <wp:extent cx="213995" cy="194310"/>
                  <wp:effectExtent l="0" t="0" r="0" b="0"/>
                  <wp:docPr id="89" name="Рисунок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, </w:t>
            </w: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7F57D7F" wp14:editId="5FDC42BB">
                  <wp:extent cx="213995" cy="194310"/>
                  <wp:effectExtent l="0" t="0" r="0" b="0"/>
                  <wp:docPr id="90" name="Рисунок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, </w:t>
            </w: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FF8F8B8" wp14:editId="2D6A7D31">
                  <wp:extent cx="175260" cy="194310"/>
                  <wp:effectExtent l="0" t="0" r="0" b="0"/>
                  <wp:docPr id="91" name="Рисунок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, </w:t>
            </w: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9518C2D" wp14:editId="787B9035">
                  <wp:extent cx="175260" cy="194310"/>
                  <wp:effectExtent l="0" t="0" r="0" b="0"/>
                  <wp:docPr id="92" name="Рисунок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Пункт 16 Приложения N 3 к настоящему техническому регламенту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(с 2015 г.)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(с 2016 г.)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(с 2017 г.)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C43" w:rsidRDefault="003A3C43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  <w:p w:rsidR="003A3C43" w:rsidRDefault="003A3C43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  <w:p w:rsidR="003A3C43" w:rsidRDefault="003A3C43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2)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37)</w:t>
            </w:r>
          </w:p>
        </w:tc>
      </w:tr>
      <w:tr w:rsidR="009872DE" w:rsidRPr="009872DE" w:rsidTr="004E0B10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114.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Оснащение системой вызова экстренных оперативных служб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75836BE" wp14:editId="4E38E9AB">
                  <wp:extent cx="213995" cy="194310"/>
                  <wp:effectExtent l="0" t="0" r="0" b="0"/>
                  <wp:docPr id="93" name="Рисунок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, входящие в область применения Правил ЕЭК ООН N 94 и 95; </w:t>
            </w:r>
            <w:r w:rsidRPr="009872DE">
              <w:rPr>
                <w:rFonts w:ascii="Arial" w:eastAsiaTheme="minorEastAsia" w:hAnsi="Arial" w:cs="Arial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78692C5F" wp14:editId="75D81DE3">
                  <wp:extent cx="175260" cy="194310"/>
                  <wp:effectExtent l="0" t="0" r="0" b="0"/>
                  <wp:docPr id="94" name="Рисунок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" cy="19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, входящие в область применения Правил ЕЭК ООН N 95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Пункт 17 Приложения N 3 к настоящему техническому регламенту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(с 2015 г.)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(с 2017 г.)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3C43" w:rsidRDefault="003A3C43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  <w:p w:rsidR="003A3C43" w:rsidRDefault="003A3C43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  <w:p w:rsidR="003A3C43" w:rsidRDefault="003A3C43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2)</w:t>
            </w:r>
          </w:p>
        </w:tc>
      </w:tr>
    </w:tbl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sz w:val="26"/>
          <w:szCs w:val="26"/>
          <w:lang w:eastAsia="ru-RU"/>
        </w:rPr>
        <w:sectPr w:rsidR="009872DE" w:rsidRPr="009872DE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9872DE" w:rsidRPr="009872DE" w:rsidRDefault="00AC38E4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hyperlink r:id="rId39" w:history="1">
        <w:r w:rsidR="009872DE"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примечания</w:t>
        </w:r>
      </w:hyperlink>
      <w:r w:rsidR="009872DE"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дополнить </w:t>
      </w:r>
      <w:hyperlink r:id="rId40" w:history="1">
        <w:r w:rsidR="009872DE"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пунктом 37</w:t>
        </w:r>
      </w:hyperlink>
      <w:r w:rsidR="009872DE"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"37) Требования распространяются на транспортные средства, используемые для коммерческой перевозки пассажиров, специально предназначенные для перевозки детей в возрасте от 6 до 16 лет и перевозки опасных грузов, твердых бытовых отходов и мусора (мусоровозы), а также на тягачи, используемые для буксировки прицепов, перевозящих опасные грузы.".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6. </w:t>
      </w:r>
      <w:hyperlink r:id="rId41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Приложение N 3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к указанному техническому регламенту дополнить </w:t>
      </w:r>
      <w:hyperlink r:id="rId42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пунктами 16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hyperlink r:id="rId43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17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 xml:space="preserve">"16. Требования к транспортным средствам в отношении установки устройства вызова экстренных оперативных служб 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16.1. Транспортные средства категорий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EFF8486" wp14:editId="2B8BFAA6">
            <wp:extent cx="243205" cy="233680"/>
            <wp:effectExtent l="0" t="0" r="4445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не входящие в область применения Правил ЕЭК ООН N 94 и 95,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341B706C" wp14:editId="1BB4A8F7">
            <wp:extent cx="213995" cy="23368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не входящие в область применения Правил ЕЭК ООН N 95,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CC2DB60" wp14:editId="5A66F54C">
            <wp:extent cx="243205" cy="233680"/>
            <wp:effectExtent l="0" t="0" r="444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3ADD5587" wp14:editId="5826EB9E">
            <wp:extent cx="243205" cy="233680"/>
            <wp:effectExtent l="0" t="0" r="4445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6829E27D" wp14:editId="29E2CA4D">
            <wp:extent cx="213995" cy="23368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C77AD3B" wp14:editId="163DB8A8">
            <wp:extent cx="213995" cy="23368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должны комплектоваться устройством вызова экстренных оперативных служб (далее - устройство), соответствующим требованиям пункта 118 приложения N 10 к настоящему техническому регламенту.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16.2. Устройство должно обеспечивать: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16.2.1. Передачу сообщения о транспортном средстве, его текущем местоположении, направлении и скорости движения после нажатия кнопки экстренного вызова, а с 1 января 2017 г. - также автоматически при опрокидывании транспортного средства;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16.2.2. Двустороннюю громкую голосовую связь с экстренными оперативными службами через сети подвижной радиотелефонной связи.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16.3. Кнопка вызова экстренных оперативных служб должна устанавливаться в месте, которое находится в зоне прямой видимости с места водителя и сидящего впереди пассажира - мужчин 50-перцентильного уровня репрезентативности (если конструкция транспортного средства предусматривает нахождение сидящего впереди пассажира рядом с местом водителя) и обеспечивает возможность досягаемости ими кнопки вызова без отсоединения ремней безопасности.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16.4. Кнопка вызова экстренных оперативных служб должна иметь защиту от непреднамеренного нажатия механическим способом.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16.5. Кнопка вызова экстренных оперативных служб должна быть обеспечена подсветкой.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16.6. Оптический индикатор состояния устройства красного цвета постоянного (немигающего) свечения, видимый в том числе в светлое время суток, размещается в области прямой видимости с места водителя и сидящего впереди пассажира, удовлетворяющих критериям, установленным пунктом 16.3. Указанный индикатор включается: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кратковременно (от 3 до 10 секунд) при подаче электроэнергии на электрическое оборудование транспортного средства при переводе включателя зажигания (пускового переключателя) в положение "включено" (рабочее положение);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при возникновении (наличии) неисправности в системе, не позволяющей выполнять требования пункта 16.2, и остается включенным в течение всего времени наличия неисправности при нахождении включателя зажигания (пускового переключателя) в положении "включено" (рабочем положении).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Допускается отсутствие оптического индикатора, удовлетворяющего указанным требованиям, в случае обеспечения возможности подтверждения исправности устройства при каждой подаче электроэнергии на электрическое оборудование транспортного средства при переводе включателя зажигания (пускового переключателя) в положение "включено" (рабочее положение) посредством использования другого оптического индикатора, а также выведения на комбинацию приборов текстового сообщения о неисправности устройства, которое сохраняется в течение всего времени наличия неисправности при нахождении включателя зажигания (пускового переключателя) в положении "включено" (рабочем положении).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16.7. Кнопка вызова экстренных оперативных служб и индикатор состояния устройства должны иметь идентифицирующие их символы. Индикатор состояния устройства может конструктивно совмещаться с кнопкой вызова экстренных оперативных служб.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 xml:space="preserve">17. Требования к транспортным средствам в отношении установки системы вызова экстренных оперативных служб 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17.1. Транспортные средства </w:t>
      </w:r>
      <w:proofErr w:type="gramStart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категорий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58E1C133" wp14:editId="67BD95E5">
            <wp:extent cx="243205" cy="233680"/>
            <wp:effectExtent l="0" t="0" r="4445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,</w:t>
      </w:r>
      <w:proofErr w:type="gramEnd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входящие в область применения Правил ЕЭК ООН N 94 и 95, и 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6F2C6042" wp14:editId="1475BDAA">
            <wp:extent cx="213995" cy="23368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, входящие в область применения Правил ЕЭК ООН N 95, должны комплектоваться системой вызова экстренных оперативных служб (далее - система), удовлетворяющей требованиям пунктов 16.2 - 16.7 настоящего приложения, а также пункта 118 приложения N 10 к настоящему техническому регламенту.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17.2. Система должна дополнительно обеспечивать: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17.2.1. Передачу сообщения о транспортном средстве автоматически при срабатывании подушки (подушек) безопасности или по сигналу датчика (датчиков) 6 вместо испытаний по Правилам ЕЭК ООН N 94 проводятся испытания по Правилам ЕЭК ООН N 12);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других компонентов системы пассивной безопасности либо других систем транспортного средства, определяющего (определяющих) уровень замедления транспортного средства при проведении испытаний, предусмотренных Правилами ЕЭК ООН N 94 и 95 (для транспортных средств, на которые распространяется действие указанных Правил. Для транспортных средств </w:t>
      </w:r>
      <w:proofErr w:type="gramStart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03F9D5A3" wp14:editId="22858E81">
            <wp:extent cx="213995" cy="23368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вместо</w:t>
      </w:r>
      <w:proofErr w:type="gramEnd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испытаний по Правилам ЕЭК ООН N 94 проводятся испытания по Правилам ЕЭК ООН N 12);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17.2.2. После проведения указанных в пункте 17.2.1 испытаний сохранение работоспособности и двустороннюю голосовую связь с экстренными оперативными службами.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17.3. В целях выполнения требований пункта 17.2.1 транспортные средства должны оснащаться, по меньшей мере, подушкой безопасности водителя.".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7. </w:t>
      </w:r>
      <w:hyperlink r:id="rId49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Приложение N 4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к указанному техническому регламенту дополнить </w:t>
      </w:r>
      <w:hyperlink r:id="rId50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пунктом 5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b/>
          <w:bCs/>
          <w:color w:val="26282F"/>
          <w:sz w:val="26"/>
          <w:szCs w:val="26"/>
          <w:lang w:eastAsia="ru-RU"/>
        </w:rPr>
        <w:t>"5. Требования к транспортным средствам в отношении установки устройства (системы) вызова экстренных оперативных служб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5.1. Транспортные средства категорий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8B8BEDB" wp14:editId="627EC926">
            <wp:extent cx="243205" cy="233680"/>
            <wp:effectExtent l="0" t="0" r="444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не входящие в область применения Правил ЕЭК ООН N 94 и 95, 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34F79EBB" wp14:editId="1A91434D">
            <wp:extent cx="213995" cy="23368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не входящие в область применения Правил ЕЭК ООН N 95,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51CFB2DE" wp14:editId="280DDCF2">
            <wp:extent cx="243205" cy="233680"/>
            <wp:effectExtent l="0" t="0" r="4445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36E1F1C7" wp14:editId="15052C2C">
            <wp:extent cx="243205" cy="233680"/>
            <wp:effectExtent l="0" t="0" r="444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027C5567" wp14:editId="76E4F37B">
            <wp:extent cx="213995" cy="23368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485DB630" wp14:editId="4E232D9F">
            <wp:extent cx="213995" cy="23368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должны комплектоваться устройством вызова экстренных оперативных служб (далее - устройство), соответствующим требованиям пункта 118 приложения N 10 к настоящему техническому регламенту.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Устройство должно обеспечивать выполнение требований, установленных пунктом 16 приложения N 3 к настоящему техническому регламенту.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5.2. Транспортные средства 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369A12F7" wp14:editId="4FD65E47">
            <wp:extent cx="243205" cy="233680"/>
            <wp:effectExtent l="0" t="0" r="444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входящие в область применения Правил ЕЭК ООН N 94 и 95, и 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6DEBADBF" wp14:editId="05755E11">
            <wp:extent cx="213995" cy="233680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, входящие в область применения Правил ЕЭК ООН N 95, должны комплектоваться системой вызова экстренных оперативных служб (далее - система).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Система должна обеспечивать выполнение требований, установленных пунктом 17 приложения N 3 к настоящему техническому регламенту.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5.3. Требования, установленные пунктом 5 настоящего приложения, применяются: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с 1 января 2016 г. - в отношении транспортных средств </w:t>
      </w:r>
      <w:proofErr w:type="gramStart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категорий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02A67863" wp14:editId="47652902">
            <wp:extent cx="243205" cy="233680"/>
            <wp:effectExtent l="0" t="0" r="444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,</w:t>
      </w:r>
      <w:proofErr w:type="gramEnd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не входящих в область применения Правил ЕЭК ООН N 94 и 95, категории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0EE310AB" wp14:editId="3803198F">
            <wp:extent cx="213995" cy="23368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не входящих в область применения Правил ЕЭК ООН N 95,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69F84795" wp14:editId="74DF07A7">
            <wp:extent cx="243205" cy="233680"/>
            <wp:effectExtent l="0" t="0" r="444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2B357A6B" wp14:editId="3DA63250">
            <wp:extent cx="243205" cy="233680"/>
            <wp:effectExtent l="0" t="0" r="444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0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,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2BE4FFEE" wp14:editId="0B3B1146">
            <wp:extent cx="213995" cy="23368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r w:rsidRPr="009872DE">
        <w:rPr>
          <w:rFonts w:ascii="Arial" w:eastAsiaTheme="minorEastAsia" w:hAnsi="Arial" w:cs="Arial"/>
          <w:noProof/>
          <w:sz w:val="26"/>
          <w:szCs w:val="26"/>
          <w:lang w:eastAsia="ru-RU"/>
        </w:rPr>
        <w:drawing>
          <wp:inline distT="0" distB="0" distL="0" distR="0" wp14:anchorId="74126CAA" wp14:editId="01DFA57B">
            <wp:extent cx="213995" cy="233680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, используемых для коммерческой перевозки пассажиров, специально предназначенных для перевозки детей в возрасте от 6 до 16 лет, а также для перевозки опасных грузов, тягачей, используемых для буксировки прицепов, перевозящих опасные грузы;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с 1 января 2017 г. - в отношении всех транспортных средств категорий М и N.".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8. </w:t>
      </w:r>
      <w:hyperlink r:id="rId58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Приложение N 8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к указанному техническому регламенту дополнить </w:t>
      </w:r>
      <w:hyperlink r:id="rId59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пунктами 10.20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hyperlink r:id="rId60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10.21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"10.20. Установленные на транспортном средстве устройство или система вызова экстренных оперативных служб должны быть работоспособными.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10.21. Установленная на транспортном средстве аппаратура спутниковой навигации должна быть работоспособной.".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9. </w:t>
      </w:r>
      <w:hyperlink r:id="rId61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Приложение N 10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к указанному техническому регламенту дополнить </w:t>
      </w:r>
      <w:hyperlink r:id="rId62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позициями 117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и </w:t>
      </w:r>
      <w:hyperlink r:id="rId63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118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следующего содержания: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  <w:sectPr w:rsidR="009872DE" w:rsidRPr="009872DE">
          <w:pgSz w:w="11905" w:h="16837"/>
          <w:pgMar w:top="1440" w:right="800" w:bottom="1440" w:left="1100" w:header="720" w:footer="720" w:gutter="0"/>
          <w:cols w:space="720"/>
          <w:noEndnote/>
        </w:sect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20"/>
        <w:gridCol w:w="3640"/>
        <w:gridCol w:w="2240"/>
        <w:gridCol w:w="8120"/>
      </w:tblGrid>
      <w:tr w:rsidR="009872DE" w:rsidRPr="009872DE" w:rsidTr="004E0B10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117.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Аппаратура спутниковой навигации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2с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Правила ЕЭК ООН N 10-03.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Должны обеспечиваться: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наличие персональной универсальной многопрофильной идентификационной карты абонента для работы в сетях подвижной радиотелефонной связи стандартов GSM 900 и GSM 1800;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обновления информации, хранящейся на персональной универсальной многопрофильной идентификационной карте абонента, по сетям подвижной радиотелефонной связи стандартов GSM 900 и GSM 1800;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осуществления голосовой связи в режиме громкой связи по сетям подвижной радиотелефонной связи стандартов GSM 900 и GSM 1800;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jc w:val="both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индикация состояния аппаратуры;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передачи и приема информации по сетям подвижной радиотелефонной связи стандартов GSM 900 и GSM 1800 посредством пакетной передачи данных или коротких текстовых сообщений;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использования интерфейсов RS232, RS485, CAN и USB для обмена данными с внешними устройствами и наличие не менее двух дискретных и двух аналоговых входов;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определение местоположения транспортного средства с погрешностью не более 15 м по координатным осям и скорости транспортного средства с погрешностью не более 0,1 м/с при доверительной вероятности 0,95;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объем внутренней энергонезависимой памяти, обеспечивающий запись: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для транспортных средств категории М - не менее 150 000 последовательно зарегистрированных событий;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для транспортных средств категории N - не менее 20 000 последовательно зарегистрированных событий;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сохранение во внутренней памяти сообщений, которые не удалось передать по сетям подвижной радиотелефонной связи стандартов GSM 900 и GSM 1800, и передача этих сообщений при восстановлении связи.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</w:tc>
      </w:tr>
      <w:tr w:rsidR="009872DE" w:rsidRPr="009872DE" w:rsidTr="004E0B10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118.</w:t>
            </w: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Устройство вызова экстренных оперативных служб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2с</w:t>
            </w: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Правила ЕЭК ООН N 10-03.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Работоспособность устройства обеспечивается при температуре </w:t>
            </w: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окружающего воздуха от - 40°С до + 85°С. Для резервной батареи (при наличии) допускается минимальная рабочая температура не выше - 20°С.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Работоспособность устройства и его крепления на транспортном средстве сохраняются при нагрузках, возникающих при проведении динамических испытаний в соответствии с добавлением к Приложению 9 к Правилам ЕЭК ООН N 17.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Устройство имеет </w:t>
            </w:r>
            <w:proofErr w:type="spellStart"/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неснимаемую</w:t>
            </w:r>
            <w:proofErr w:type="spellEnd"/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 персональную универсальную многопрофильную идентификационную карту абонента для работы в сетях подвижной радиотелефонной связи стандартов GSM 900 и GSM 1800, а также UMTS 900 и UMTS 2000.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Устройство обеспечивает: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определение местоположения с погрешностью не более 15 м по координатным осям при доверительной вероятности 0,95;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установление двухстороннего дуплексного голосового соединения в режиме громкой связи c оператором экстренных оперативных служб;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передачу сообщения о транспортном средстве с использованием тонального модема, работающего в сетях подвижной радиотелефонной связи стандартов GSM 900 и GSM 1800, UMTS 900 и UMTS 2000;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обязательные признаки приоритетности экстренного вызова в сетях подвижной </w:t>
            </w: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радиотелефонной связи стандартов GSM 900 и GSM 1800, UMTS 900 и UMTS 2000;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при невозможности передачи информации с использованием тонального модема, работающего в сетях подвижной радиотелефонной связи, в течение 20 секунд после начала передачи информации - прекращение использования тонального модема и осуществление повторной передачи информации посредством использования коротких текстовых сообщений (СМС);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повторной передачи информации с использованием тонального модема, работающего через установленное голосовое соединение, и посредством использования СМС в сетях подвижной радиотелефонной связи стандартов GSM 900 и GSM 1800, UMTS 900 и</w:t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 UMTS 2000;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после завершения экстренного вызова прием команды на осуществление повторного экстренного вызова, поступающей в виде СМС, и осуществление повторного экстренного вызова в течение настраиваемого промежутка времени;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отключение при осуществлении экстренного вызова иных средств воспроизведения звука на транспортном средстве на период голосового соединения, за исключением средств специальной связи;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при невозможности передачи информации посредством использования сетей подвижной радиотелефонной связи стандартов GSM 900 и GSM 1800, UMTS 900 и UMTS 2000 - сохранение в энергонезависимой памяти непереданной информации и передачу ее при восстановлении такой возможности;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автоматический прием входящих телефонных вызовов в </w:t>
            </w: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течение не менее 20 минут после завершения экстренного вызова;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подключение к бортовой электрической сети транспортного средства, обеспечивающее работу устройства во всех предусмотренных режимах, а также зарядку резервной батареи питания (при наличии);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при отсутствии питания от бортовой электрической сети - возможность автономной работы за счет использования резервной батареи в течение не менее 60 минут в режиме ожидания обратного звонка и в дальнейшем не менее 10 минут работы в режиме голосовой связи. Срок службы резервной батареи составляет не менее 3 лет;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проверки своей работоспособности в автоматическом и в ручном режимах и информирование о своей неисправности посредством оптического индикатора состояния устройства или соответствующего сообщения на комбинации приборов;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возможность передачи результатов тестирования устройства посредством использования сетей</w:t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 подвижной радиотелефонной связи стандартов GSM 900 и GSM 1800, UMTS 900 и UMTS 2000;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возможность обновления информации, хранящейся на </w:t>
            </w:r>
            <w:proofErr w:type="spellStart"/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неснимаемой</w:t>
            </w:r>
            <w:proofErr w:type="spellEnd"/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 персональной универсальной многопрофильной идентификационной карте абонента, по сетям подвижной радиотелефонной связи стандартов GSM 900 и GSM 1800, а также UMTS 900 и UMTS 2000;</w:t>
            </w:r>
          </w:p>
          <w:p w:rsidR="009872DE" w:rsidRPr="00D6579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405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возможность работы с внешними дополнительными устройствами (включая устройства, предназначенные для определения события дорожно-транспортного происшествия), подключаемыми посредством стандартизованного разъема и </w:t>
            </w: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стандартизованного протокола передачи данных. Физический интерфейс передачи данных обеспечивает скорость передачи данных не менее 62,5 </w:t>
            </w:r>
            <w:proofErr w:type="spellStart"/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кБит</w:t>
            </w:r>
            <w:proofErr w:type="spellEnd"/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/c.</w:t>
            </w:r>
          </w:p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  <w:r w:rsidRPr="00D6579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>Установка антенн устройства обеспечивает в рабочем положении транспортного средства устойчивый прием сигналов не менее двух действующих глобальных навигационных спутниковых систем и в любом</w:t>
            </w:r>
            <w:r w:rsidRPr="009872DE"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  <w:t xml:space="preserve"> положении транспортного средства устойчивую связь по сетям подвижной радиотелефонной связи, обеспечивающим прием и передачу сигналов стандартов GSM 900, GSM 1800, а также UMTS 900 и UMTS 2000.</w:t>
            </w:r>
          </w:p>
        </w:tc>
      </w:tr>
      <w:tr w:rsidR="009872DE" w:rsidRPr="009872DE" w:rsidTr="004E0B10"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364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</w:tc>
        <w:tc>
          <w:tcPr>
            <w:tcW w:w="8120" w:type="dxa"/>
            <w:tcBorders>
              <w:top w:val="nil"/>
              <w:left w:val="nil"/>
              <w:bottom w:val="nil"/>
              <w:right w:val="nil"/>
            </w:tcBorders>
          </w:tcPr>
          <w:p w:rsidR="009872DE" w:rsidRPr="009872DE" w:rsidRDefault="009872DE" w:rsidP="009872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63"/>
              <w:rPr>
                <w:rFonts w:ascii="Arial" w:eastAsiaTheme="minorEastAsia" w:hAnsi="Arial" w:cs="Arial"/>
                <w:sz w:val="26"/>
                <w:szCs w:val="26"/>
                <w:lang w:eastAsia="ru-RU"/>
              </w:rPr>
            </w:pPr>
          </w:p>
        </w:tc>
      </w:tr>
    </w:tbl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sz w:val="26"/>
          <w:szCs w:val="26"/>
          <w:lang w:eastAsia="ru-RU"/>
        </w:rPr>
      </w:pPr>
      <w:r w:rsidRPr="009872DE">
        <w:rPr>
          <w:rFonts w:ascii="Arial" w:eastAsiaTheme="minorEastAsia" w:hAnsi="Arial" w:cs="Arial"/>
          <w:sz w:val="26"/>
          <w:szCs w:val="26"/>
          <w:lang w:eastAsia="ru-RU"/>
        </w:rPr>
        <w:t>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Theme="minorEastAsia" w:hAnsi="Arial" w:cs="Arial"/>
          <w:sz w:val="26"/>
          <w:szCs w:val="26"/>
          <w:lang w:eastAsia="ru-RU"/>
        </w:rPr>
        <w:sectPr w:rsidR="009872DE" w:rsidRPr="009872DE">
          <w:pgSz w:w="16837" w:h="11905" w:orient="landscape"/>
          <w:pgMar w:top="1440" w:right="800" w:bottom="1440" w:left="1100" w:header="720" w:footer="720" w:gutter="0"/>
          <w:cols w:space="720"/>
          <w:noEndnote/>
        </w:sectPr>
      </w:pP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bookmarkStart w:id="1" w:name="sub_1010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10. В приложении N 14 к указанному техническому регламенту (приложение N 1 к одобрению типа транспортного средства) в таблице </w:t>
      </w:r>
      <w:hyperlink r:id="rId64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позицию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"Оборудование транспортного средства" в правой колонке после слова "антенна" дополнить словами ", устройство (система) вызова экстренных оперативных служб".</w:t>
      </w:r>
    </w:p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  <w:bookmarkStart w:id="2" w:name="sub_1011"/>
      <w:bookmarkEnd w:id="1"/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11. В приложении N 15 к указанному техническому регламенту (приложение N 1 к одобрению типа шасси) в таблице </w:t>
      </w:r>
      <w:hyperlink r:id="rId65" w:history="1">
        <w:r w:rsidRPr="009872DE">
          <w:rPr>
            <w:rFonts w:ascii="Arial" w:eastAsiaTheme="minorEastAsia" w:hAnsi="Arial" w:cs="Arial"/>
            <w:color w:val="106BBE"/>
            <w:sz w:val="26"/>
            <w:szCs w:val="26"/>
            <w:lang w:eastAsia="ru-RU"/>
          </w:rPr>
          <w:t>позицию</w:t>
        </w:r>
      </w:hyperlink>
      <w:r w:rsidRPr="009872DE">
        <w:rPr>
          <w:rFonts w:ascii="Arial" w:eastAsiaTheme="minorEastAsia" w:hAnsi="Arial" w:cs="Arial"/>
          <w:sz w:val="26"/>
          <w:szCs w:val="26"/>
          <w:lang w:eastAsia="ru-RU"/>
        </w:rPr>
        <w:t xml:space="preserve"> "Оборудование шасси" в правой колонке после слова "антенна" дополнить словами ", устройство (система) вызова экстренных оперативных служб".</w:t>
      </w:r>
    </w:p>
    <w:bookmarkEnd w:id="2"/>
    <w:p w:rsidR="009872DE" w:rsidRPr="009872DE" w:rsidRDefault="009872DE" w:rsidP="009872D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6"/>
          <w:szCs w:val="26"/>
          <w:lang w:eastAsia="ru-RU"/>
        </w:rPr>
      </w:pPr>
    </w:p>
    <w:p w:rsidR="000F0A08" w:rsidRDefault="00AC38E4"/>
    <w:sectPr w:rsidR="000F0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34A"/>
    <w:rsid w:val="0037634A"/>
    <w:rsid w:val="003A3C43"/>
    <w:rsid w:val="0055098F"/>
    <w:rsid w:val="008075BC"/>
    <w:rsid w:val="009872DE"/>
    <w:rsid w:val="00AC38E4"/>
    <w:rsid w:val="00CB4A29"/>
    <w:rsid w:val="00D6579E"/>
    <w:rsid w:val="00FA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C55830-EDF0-4643-94A5-E12930B87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3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70006658.120142" TargetMode="External"/><Relationship Id="rId18" Type="http://schemas.openxmlformats.org/officeDocument/2006/relationships/image" Target="media/image3.emf"/><Relationship Id="rId26" Type="http://schemas.openxmlformats.org/officeDocument/2006/relationships/hyperlink" Target="garantF1://70006658.1124118" TargetMode="External"/><Relationship Id="rId39" Type="http://schemas.openxmlformats.org/officeDocument/2006/relationships/hyperlink" Target="garantF1://70006658.121000" TargetMode="External"/><Relationship Id="rId21" Type="http://schemas.openxmlformats.org/officeDocument/2006/relationships/image" Target="media/image6.emf"/><Relationship Id="rId34" Type="http://schemas.openxmlformats.org/officeDocument/2006/relationships/image" Target="media/image12.emf"/><Relationship Id="rId42" Type="http://schemas.openxmlformats.org/officeDocument/2006/relationships/hyperlink" Target="garantF1://70006658.13016" TargetMode="External"/><Relationship Id="rId47" Type="http://schemas.openxmlformats.org/officeDocument/2006/relationships/image" Target="media/image20.emf"/><Relationship Id="rId50" Type="http://schemas.openxmlformats.org/officeDocument/2006/relationships/hyperlink" Target="garantF1://70006658.14005" TargetMode="External"/><Relationship Id="rId55" Type="http://schemas.openxmlformats.org/officeDocument/2006/relationships/image" Target="media/image26.emf"/><Relationship Id="rId63" Type="http://schemas.openxmlformats.org/officeDocument/2006/relationships/hyperlink" Target="garantF1://70006658.110118" TargetMode="External"/><Relationship Id="rId7" Type="http://schemas.openxmlformats.org/officeDocument/2006/relationships/hyperlink" Target="garantF1://70006658.1200063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.emf"/><Relationship Id="rId29" Type="http://schemas.openxmlformats.org/officeDocument/2006/relationships/hyperlink" Target="garantF1://70006658.121113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70006658.100006" TargetMode="External"/><Relationship Id="rId11" Type="http://schemas.openxmlformats.org/officeDocument/2006/relationships/hyperlink" Target="garantF1://70006658.120103" TargetMode="External"/><Relationship Id="rId24" Type="http://schemas.openxmlformats.org/officeDocument/2006/relationships/hyperlink" Target="garantF1://70006658.11240" TargetMode="External"/><Relationship Id="rId32" Type="http://schemas.openxmlformats.org/officeDocument/2006/relationships/image" Target="media/image10.emf"/><Relationship Id="rId37" Type="http://schemas.openxmlformats.org/officeDocument/2006/relationships/image" Target="media/image15.emf"/><Relationship Id="rId40" Type="http://schemas.openxmlformats.org/officeDocument/2006/relationships/hyperlink" Target="garantF1://70006658.121037" TargetMode="External"/><Relationship Id="rId45" Type="http://schemas.openxmlformats.org/officeDocument/2006/relationships/image" Target="media/image18.emf"/><Relationship Id="rId53" Type="http://schemas.openxmlformats.org/officeDocument/2006/relationships/image" Target="media/image24.emf"/><Relationship Id="rId58" Type="http://schemas.openxmlformats.org/officeDocument/2006/relationships/hyperlink" Target="garantF1://70006658.18000" TargetMode="External"/><Relationship Id="rId66" Type="http://schemas.openxmlformats.org/officeDocument/2006/relationships/fontTable" Target="fontTable.xml"/><Relationship Id="rId5" Type="http://schemas.openxmlformats.org/officeDocument/2006/relationships/hyperlink" Target="http://www.tsouz.ru/eek/RSEEK/RSEEK/2013/1z/Documents/P_6.pdf" TargetMode="External"/><Relationship Id="rId15" Type="http://schemas.openxmlformats.org/officeDocument/2006/relationships/hyperlink" Target="garantF1://70006658.100131" TargetMode="External"/><Relationship Id="rId23" Type="http://schemas.openxmlformats.org/officeDocument/2006/relationships/image" Target="media/image8.emf"/><Relationship Id="rId28" Type="http://schemas.openxmlformats.org/officeDocument/2006/relationships/hyperlink" Target="garantF1://70006658.12100" TargetMode="External"/><Relationship Id="rId36" Type="http://schemas.openxmlformats.org/officeDocument/2006/relationships/image" Target="media/image14.emf"/><Relationship Id="rId49" Type="http://schemas.openxmlformats.org/officeDocument/2006/relationships/hyperlink" Target="garantF1://70006658.14000" TargetMode="External"/><Relationship Id="rId57" Type="http://schemas.openxmlformats.org/officeDocument/2006/relationships/image" Target="media/image28.emf"/><Relationship Id="rId61" Type="http://schemas.openxmlformats.org/officeDocument/2006/relationships/hyperlink" Target="garantF1://70006658.110000" TargetMode="External"/><Relationship Id="rId10" Type="http://schemas.openxmlformats.org/officeDocument/2006/relationships/hyperlink" Target="garantF1://70006658.1200692" TargetMode="External"/><Relationship Id="rId19" Type="http://schemas.openxmlformats.org/officeDocument/2006/relationships/image" Target="media/image4.emf"/><Relationship Id="rId31" Type="http://schemas.openxmlformats.org/officeDocument/2006/relationships/image" Target="media/image9.emf"/><Relationship Id="rId44" Type="http://schemas.openxmlformats.org/officeDocument/2006/relationships/image" Target="media/image17.emf"/><Relationship Id="rId52" Type="http://schemas.openxmlformats.org/officeDocument/2006/relationships/image" Target="media/image23.emf"/><Relationship Id="rId60" Type="http://schemas.openxmlformats.org/officeDocument/2006/relationships/hyperlink" Target="garantF1://70006658.181021" TargetMode="External"/><Relationship Id="rId65" Type="http://schemas.openxmlformats.org/officeDocument/2006/relationships/hyperlink" Target="garantF1://70006658.115101" TargetMode="External"/><Relationship Id="rId4" Type="http://schemas.openxmlformats.org/officeDocument/2006/relationships/hyperlink" Target="http://www.tsouz.ru/eek/RSEEK/RSEEK/2013/1z/Documents/P_6.pdf" TargetMode="External"/><Relationship Id="rId9" Type="http://schemas.openxmlformats.org/officeDocument/2006/relationships/hyperlink" Target="garantF1://70006658.1200672" TargetMode="External"/><Relationship Id="rId14" Type="http://schemas.openxmlformats.org/officeDocument/2006/relationships/hyperlink" Target="garantF1://70006658.100013" TargetMode="External"/><Relationship Id="rId22" Type="http://schemas.openxmlformats.org/officeDocument/2006/relationships/image" Target="media/image7.emf"/><Relationship Id="rId27" Type="http://schemas.openxmlformats.org/officeDocument/2006/relationships/hyperlink" Target="garantF1://70006658.12000" TargetMode="External"/><Relationship Id="rId30" Type="http://schemas.openxmlformats.org/officeDocument/2006/relationships/hyperlink" Target="garantF1://70006658.121114" TargetMode="External"/><Relationship Id="rId35" Type="http://schemas.openxmlformats.org/officeDocument/2006/relationships/image" Target="media/image13.emf"/><Relationship Id="rId43" Type="http://schemas.openxmlformats.org/officeDocument/2006/relationships/hyperlink" Target="garantF1://70006658.13017" TargetMode="External"/><Relationship Id="rId48" Type="http://schemas.openxmlformats.org/officeDocument/2006/relationships/image" Target="media/image21.emf"/><Relationship Id="rId56" Type="http://schemas.openxmlformats.org/officeDocument/2006/relationships/image" Target="media/image27.emf"/><Relationship Id="rId64" Type="http://schemas.openxmlformats.org/officeDocument/2006/relationships/hyperlink" Target="garantF1://70006658.114101" TargetMode="External"/><Relationship Id="rId8" Type="http://schemas.openxmlformats.org/officeDocument/2006/relationships/hyperlink" Target="garantF1://70006658.120063" TargetMode="External"/><Relationship Id="rId51" Type="http://schemas.openxmlformats.org/officeDocument/2006/relationships/image" Target="media/image22.emf"/><Relationship Id="rId3" Type="http://schemas.openxmlformats.org/officeDocument/2006/relationships/webSettings" Target="webSettings.xml"/><Relationship Id="rId12" Type="http://schemas.openxmlformats.org/officeDocument/2006/relationships/hyperlink" Target="garantF1://70006658.1206131" TargetMode="External"/><Relationship Id="rId17" Type="http://schemas.openxmlformats.org/officeDocument/2006/relationships/image" Target="media/image2.emf"/><Relationship Id="rId25" Type="http://schemas.openxmlformats.org/officeDocument/2006/relationships/hyperlink" Target="garantF1://70006658.1124117" TargetMode="External"/><Relationship Id="rId33" Type="http://schemas.openxmlformats.org/officeDocument/2006/relationships/image" Target="media/image11.emf"/><Relationship Id="rId38" Type="http://schemas.openxmlformats.org/officeDocument/2006/relationships/image" Target="media/image16.emf"/><Relationship Id="rId46" Type="http://schemas.openxmlformats.org/officeDocument/2006/relationships/image" Target="media/image19.emf"/><Relationship Id="rId59" Type="http://schemas.openxmlformats.org/officeDocument/2006/relationships/hyperlink" Target="garantF1://70006658.181020" TargetMode="External"/><Relationship Id="rId67" Type="http://schemas.openxmlformats.org/officeDocument/2006/relationships/theme" Target="theme/theme1.xml"/><Relationship Id="rId20" Type="http://schemas.openxmlformats.org/officeDocument/2006/relationships/image" Target="media/image5.emf"/><Relationship Id="rId41" Type="http://schemas.openxmlformats.org/officeDocument/2006/relationships/hyperlink" Target="garantF1://70006658.13000" TargetMode="External"/><Relationship Id="rId54" Type="http://schemas.openxmlformats.org/officeDocument/2006/relationships/image" Target="media/image25.emf"/><Relationship Id="rId62" Type="http://schemas.openxmlformats.org/officeDocument/2006/relationships/hyperlink" Target="garantF1://70006658.1101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3136</Words>
  <Characters>17878</Characters>
  <Application>Microsoft Office Word</Application>
  <DocSecurity>4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Гладких Виктор Михайлович</dc:creator>
  <cp:lastModifiedBy>user</cp:lastModifiedBy>
  <cp:revision>2</cp:revision>
  <dcterms:created xsi:type="dcterms:W3CDTF">2017-03-04T11:38:00Z</dcterms:created>
  <dcterms:modified xsi:type="dcterms:W3CDTF">2017-03-04T11:38:00Z</dcterms:modified>
</cp:coreProperties>
</file>